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F73F2" w14:textId="77777777" w:rsidR="00094A87" w:rsidRPr="00401B41" w:rsidRDefault="003E6203" w:rsidP="00094A87">
      <w:pPr>
        <w:spacing w:after="0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     </w:t>
      </w:r>
      <w:r w:rsidR="00797CB5" w:rsidRPr="00401B41">
        <w:rPr>
          <w:rFonts w:ascii="Times New Roman" w:hAnsi="Times New Roman" w:cs="Times New Roman"/>
          <w:noProof/>
        </w:rPr>
        <w:drawing>
          <wp:inline distT="0" distB="0" distL="0" distR="0" wp14:anchorId="4BB015F2" wp14:editId="3D46BED4">
            <wp:extent cx="762000" cy="8763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B41">
        <w:rPr>
          <w:rFonts w:ascii="Times New Roman" w:hAnsi="Times New Roman" w:cs="Times New Roman"/>
        </w:rPr>
        <w:t xml:space="preserve">                         </w:t>
      </w:r>
    </w:p>
    <w:p w14:paraId="069E865A" w14:textId="77777777" w:rsidR="00094A87" w:rsidRPr="00401B41" w:rsidRDefault="00094A87" w:rsidP="00094A87">
      <w:pPr>
        <w:spacing w:after="0"/>
        <w:rPr>
          <w:rFonts w:ascii="Times New Roman" w:hAnsi="Times New Roman" w:cs="Times New Roman"/>
        </w:rPr>
      </w:pPr>
    </w:p>
    <w:p w14:paraId="12CD5992" w14:textId="402FD8D7" w:rsidR="00094A87" w:rsidRPr="00401B41" w:rsidRDefault="003E6203" w:rsidP="00094A87">
      <w:pPr>
        <w:spacing w:after="0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 </w:t>
      </w:r>
      <w:r w:rsidR="00094A87" w:rsidRPr="00401B41">
        <w:rPr>
          <w:rFonts w:ascii="Times New Roman" w:hAnsi="Times New Roman" w:cs="Times New Roman"/>
        </w:rPr>
        <w:t xml:space="preserve">Republika Hrvatska                                                                                          </w:t>
      </w:r>
    </w:p>
    <w:p w14:paraId="6AF1F55A" w14:textId="77777777" w:rsidR="00094A87" w:rsidRPr="00401B41" w:rsidRDefault="00094A87" w:rsidP="00094A87">
      <w:pPr>
        <w:spacing w:after="0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b/>
          <w:bCs/>
        </w:rPr>
        <w:t xml:space="preserve"> Koprivničko – Križevačka županija</w:t>
      </w:r>
    </w:p>
    <w:p w14:paraId="5F5E6A31" w14:textId="77777777" w:rsidR="00094A87" w:rsidRPr="00401B41" w:rsidRDefault="00094A87" w:rsidP="00094A8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01B41">
        <w:rPr>
          <w:rFonts w:ascii="Times New Roman" w:hAnsi="Times New Roman" w:cs="Times New Roman"/>
          <w:b/>
          <w:bCs/>
        </w:rPr>
        <w:t>OSNOVNA ŠKOLA „PODOLICE“ KOPRIVNICA</w:t>
      </w:r>
    </w:p>
    <w:p w14:paraId="441CB43D" w14:textId="77777777" w:rsidR="00094A87" w:rsidRPr="00401B41" w:rsidRDefault="00094A87" w:rsidP="00094A8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01B41">
        <w:rPr>
          <w:rFonts w:ascii="Times New Roman" w:hAnsi="Times New Roman" w:cs="Times New Roman"/>
          <w:b/>
          <w:bCs/>
        </w:rPr>
        <w:t xml:space="preserve"> KOPRIVNICA</w:t>
      </w:r>
    </w:p>
    <w:p w14:paraId="07CC8E44" w14:textId="3E79EE07" w:rsidR="00B44D4C" w:rsidRPr="00401B41" w:rsidRDefault="00094A87" w:rsidP="00094A8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01B41">
        <w:rPr>
          <w:rFonts w:ascii="Times New Roman" w:hAnsi="Times New Roman" w:cs="Times New Roman"/>
          <w:b/>
          <w:bCs/>
        </w:rPr>
        <w:t xml:space="preserve"> OIB: 61388561152</w:t>
      </w:r>
      <w:r w:rsidR="003E6203" w:rsidRPr="00401B41">
        <w:rPr>
          <w:rFonts w:ascii="Times New Roman" w:hAnsi="Times New Roman" w:cs="Times New Roman"/>
        </w:rPr>
        <w:t xml:space="preserve">                                                      </w:t>
      </w:r>
      <w:r w:rsidR="00B44D4C" w:rsidRPr="00401B41">
        <w:rPr>
          <w:rFonts w:ascii="Times New Roman" w:hAnsi="Times New Roman" w:cs="Times New Roman"/>
        </w:rPr>
        <w:t xml:space="preserve"> </w:t>
      </w:r>
    </w:p>
    <w:p w14:paraId="4D7A7CF3" w14:textId="6E850D45" w:rsidR="00B44D4C" w:rsidRPr="00401B41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KLASA: </w:t>
      </w:r>
      <w:r w:rsidR="00F208E9" w:rsidRPr="00401B41">
        <w:rPr>
          <w:rFonts w:ascii="Times New Roman" w:hAnsi="Times New Roman" w:cs="Times New Roman"/>
        </w:rPr>
        <w:t>400-01/25-01/</w:t>
      </w:r>
      <w:r w:rsidR="00764417" w:rsidRPr="00401B41">
        <w:rPr>
          <w:rFonts w:ascii="Times New Roman" w:hAnsi="Times New Roman" w:cs="Times New Roman"/>
        </w:rPr>
        <w:t>3</w:t>
      </w:r>
    </w:p>
    <w:p w14:paraId="6F186398" w14:textId="34DF439F" w:rsidR="00B44D4C" w:rsidRPr="00401B41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URBROJ: </w:t>
      </w:r>
      <w:r w:rsidR="00F208E9" w:rsidRPr="00401B41">
        <w:rPr>
          <w:rFonts w:ascii="Times New Roman" w:hAnsi="Times New Roman" w:cs="Times New Roman"/>
        </w:rPr>
        <w:t>2137-1-4-25-2</w:t>
      </w:r>
    </w:p>
    <w:p w14:paraId="15B1BEF3" w14:textId="77777777" w:rsidR="00B44D4C" w:rsidRPr="00401B41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5EF72626" w14:textId="45A17B3B" w:rsidR="00B44D4C" w:rsidRPr="00401B41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Koprivnica, </w:t>
      </w:r>
      <w:r w:rsidR="0041542F" w:rsidRPr="00401B41">
        <w:rPr>
          <w:rFonts w:ascii="Times New Roman" w:hAnsi="Times New Roman" w:cs="Times New Roman"/>
        </w:rPr>
        <w:t>1</w:t>
      </w:r>
      <w:r w:rsidR="00764417" w:rsidRPr="00401B41">
        <w:rPr>
          <w:rFonts w:ascii="Times New Roman" w:hAnsi="Times New Roman" w:cs="Times New Roman"/>
        </w:rPr>
        <w:t>5.07</w:t>
      </w:r>
      <w:r w:rsidR="00186B39" w:rsidRPr="00401B41">
        <w:rPr>
          <w:rFonts w:ascii="Times New Roman" w:hAnsi="Times New Roman" w:cs="Times New Roman"/>
        </w:rPr>
        <w:t>.</w:t>
      </w:r>
      <w:r w:rsidRPr="00401B41">
        <w:rPr>
          <w:rFonts w:ascii="Times New Roman" w:hAnsi="Times New Roman" w:cs="Times New Roman"/>
        </w:rPr>
        <w:t>202</w:t>
      </w:r>
      <w:r w:rsidR="00576B5E" w:rsidRPr="00401B41">
        <w:rPr>
          <w:rFonts w:ascii="Times New Roman" w:hAnsi="Times New Roman" w:cs="Times New Roman"/>
        </w:rPr>
        <w:t>5</w:t>
      </w:r>
      <w:r w:rsidRPr="00401B41">
        <w:rPr>
          <w:rFonts w:ascii="Times New Roman" w:hAnsi="Times New Roman" w:cs="Times New Roman"/>
        </w:rPr>
        <w:t>.godine</w:t>
      </w:r>
    </w:p>
    <w:p w14:paraId="4A7F70A5" w14:textId="77777777" w:rsidR="00B44D4C" w:rsidRPr="00401B41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161158EA" w14:textId="77777777" w:rsidR="00B44D4C" w:rsidRPr="00401B41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328CBCDC" w14:textId="2CBA8C0B" w:rsidR="00B44D4C" w:rsidRPr="00401B41" w:rsidRDefault="00B44D4C" w:rsidP="00B44D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1B41">
        <w:rPr>
          <w:rFonts w:ascii="Times New Roman" w:hAnsi="Times New Roman" w:cs="Times New Roman"/>
          <w:b/>
        </w:rPr>
        <w:t>OBRAZLOŽENJE</w:t>
      </w:r>
      <w:r w:rsidR="00895E96" w:rsidRPr="00401B41">
        <w:rPr>
          <w:rFonts w:ascii="Times New Roman" w:hAnsi="Times New Roman" w:cs="Times New Roman"/>
          <w:b/>
        </w:rPr>
        <w:t xml:space="preserve"> PRIJEDLOGA</w:t>
      </w:r>
      <w:r w:rsidR="003E4AD7">
        <w:rPr>
          <w:rFonts w:ascii="Times New Roman" w:hAnsi="Times New Roman" w:cs="Times New Roman"/>
          <w:b/>
        </w:rPr>
        <w:t xml:space="preserve"> POLUGODIŠNJEG IZVJEŠTAJA O </w:t>
      </w:r>
      <w:r w:rsidRPr="00401B41">
        <w:rPr>
          <w:rFonts w:ascii="Times New Roman" w:hAnsi="Times New Roman" w:cs="Times New Roman"/>
          <w:b/>
        </w:rPr>
        <w:t xml:space="preserve"> IZVRŠENJ</w:t>
      </w:r>
      <w:r w:rsidR="003E4AD7">
        <w:rPr>
          <w:rFonts w:ascii="Times New Roman" w:hAnsi="Times New Roman" w:cs="Times New Roman"/>
          <w:b/>
        </w:rPr>
        <w:t xml:space="preserve">U </w:t>
      </w:r>
      <w:r w:rsidR="00764417" w:rsidRPr="00401B41">
        <w:rPr>
          <w:rFonts w:ascii="Times New Roman" w:hAnsi="Times New Roman" w:cs="Times New Roman"/>
          <w:b/>
        </w:rPr>
        <w:t>FINANCIJSKOG PLANA</w:t>
      </w:r>
      <w:r w:rsidR="001F131E" w:rsidRPr="00401B41">
        <w:rPr>
          <w:rFonts w:ascii="Times New Roman" w:hAnsi="Times New Roman" w:cs="Times New Roman"/>
          <w:b/>
        </w:rPr>
        <w:t xml:space="preserve"> </w:t>
      </w:r>
      <w:r w:rsidRPr="00401B41">
        <w:rPr>
          <w:rFonts w:ascii="Times New Roman" w:hAnsi="Times New Roman" w:cs="Times New Roman"/>
          <w:b/>
        </w:rPr>
        <w:t xml:space="preserve"> ZA </w:t>
      </w:r>
      <w:r w:rsidR="00764417" w:rsidRPr="00401B41">
        <w:rPr>
          <w:rFonts w:ascii="Times New Roman" w:hAnsi="Times New Roman" w:cs="Times New Roman"/>
          <w:b/>
        </w:rPr>
        <w:t>2025</w:t>
      </w:r>
      <w:r w:rsidR="00955FF2" w:rsidRPr="00401B41">
        <w:rPr>
          <w:rFonts w:ascii="Times New Roman" w:hAnsi="Times New Roman" w:cs="Times New Roman"/>
          <w:b/>
        </w:rPr>
        <w:t>.</w:t>
      </w:r>
      <w:r w:rsidRPr="00401B41">
        <w:rPr>
          <w:rFonts w:ascii="Times New Roman" w:hAnsi="Times New Roman" w:cs="Times New Roman"/>
          <w:b/>
        </w:rPr>
        <w:t xml:space="preserve"> GODIN</w:t>
      </w:r>
      <w:r w:rsidR="003E4AD7">
        <w:rPr>
          <w:rFonts w:ascii="Times New Roman" w:hAnsi="Times New Roman" w:cs="Times New Roman"/>
          <w:b/>
        </w:rPr>
        <w:t>U</w:t>
      </w:r>
    </w:p>
    <w:p w14:paraId="5C361212" w14:textId="77777777" w:rsidR="00790F6D" w:rsidRPr="00401B41" w:rsidRDefault="00790F6D">
      <w:pPr>
        <w:rPr>
          <w:rFonts w:ascii="Times New Roman" w:hAnsi="Times New Roman" w:cs="Times New Roman"/>
        </w:rPr>
      </w:pPr>
      <w:bookmarkStart w:id="0" w:name="_GoBack"/>
      <w:bookmarkEnd w:id="0"/>
    </w:p>
    <w:p w14:paraId="216027B0" w14:textId="77777777" w:rsidR="005E7A0E" w:rsidRPr="00401B41" w:rsidRDefault="005E7A0E" w:rsidP="005E7A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401B41">
        <w:rPr>
          <w:rFonts w:ascii="Times New Roman" w:eastAsia="Times New Roman" w:hAnsi="Times New Roman" w:cs="Times New Roman"/>
          <w:b/>
          <w:lang w:eastAsia="hr-HR"/>
        </w:rPr>
        <w:t>SAŽETAK DJELOKRUGA RADA USTANOVE</w:t>
      </w:r>
    </w:p>
    <w:p w14:paraId="00DF5B0A" w14:textId="77777777" w:rsidR="005E7A0E" w:rsidRPr="00401B41" w:rsidRDefault="005E7A0E" w:rsidP="005E7A0E">
      <w:pPr>
        <w:spacing w:line="259" w:lineRule="auto"/>
        <w:jc w:val="both"/>
        <w:rPr>
          <w:rFonts w:ascii="Times New Roman" w:hAnsi="Times New Roman" w:cs="Times New Roman"/>
        </w:rPr>
      </w:pPr>
    </w:p>
    <w:p w14:paraId="13B448C8" w14:textId="4F165AE0" w:rsidR="005E7A0E" w:rsidRPr="00401B41" w:rsidRDefault="005E7A0E" w:rsidP="005E7A0E">
      <w:pPr>
        <w:spacing w:line="259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Osnovna škola </w:t>
      </w:r>
      <w:r w:rsidR="00A141E6" w:rsidRPr="00401B41">
        <w:rPr>
          <w:rFonts w:ascii="Times New Roman" w:hAnsi="Times New Roman" w:cs="Times New Roman"/>
        </w:rPr>
        <w:t>„</w:t>
      </w:r>
      <w:proofErr w:type="spellStart"/>
      <w:r w:rsidR="00A141E6" w:rsidRPr="00401B41">
        <w:rPr>
          <w:rFonts w:ascii="Times New Roman" w:hAnsi="Times New Roman" w:cs="Times New Roman"/>
        </w:rPr>
        <w:t>Podolice</w:t>
      </w:r>
      <w:proofErr w:type="spellEnd"/>
      <w:r w:rsidR="00A141E6" w:rsidRPr="00401B41">
        <w:rPr>
          <w:rFonts w:ascii="Times New Roman" w:hAnsi="Times New Roman" w:cs="Times New Roman"/>
        </w:rPr>
        <w:t>“ Koprivnica</w:t>
      </w:r>
      <w:r w:rsidRPr="00401B41">
        <w:rPr>
          <w:rFonts w:ascii="Times New Roman" w:hAnsi="Times New Roman" w:cs="Times New Roman"/>
        </w:rPr>
        <w:t xml:space="preserve"> MBS:</w:t>
      </w:r>
      <w:r w:rsidR="00A141E6" w:rsidRPr="00401B41">
        <w:rPr>
          <w:rFonts w:ascii="Times New Roman" w:hAnsi="Times New Roman" w:cs="Times New Roman"/>
        </w:rPr>
        <w:t xml:space="preserve"> 5628024</w:t>
      </w:r>
      <w:r w:rsidRPr="00401B41">
        <w:rPr>
          <w:rFonts w:ascii="Times New Roman" w:hAnsi="Times New Roman" w:cs="Times New Roman"/>
        </w:rPr>
        <w:t xml:space="preserve">  ima predmet poslovanja – djelatnosti:</w:t>
      </w:r>
    </w:p>
    <w:p w14:paraId="0658D257" w14:textId="77777777" w:rsidR="005E7A0E" w:rsidRPr="00401B41" w:rsidRDefault="005E7A0E" w:rsidP="005E7A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osnovno školovanje djece i mladeži</w:t>
      </w:r>
    </w:p>
    <w:p w14:paraId="1889FCA2" w14:textId="77777777" w:rsidR="005E7A0E" w:rsidRPr="00401B41" w:rsidRDefault="005E7A0E" w:rsidP="005E7A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osnovno školovanje za učenike s navršenih 15 godina</w:t>
      </w:r>
    </w:p>
    <w:p w14:paraId="00AD8459" w14:textId="77777777" w:rsidR="005E7A0E" w:rsidRPr="00401B41" w:rsidRDefault="005E7A0E" w:rsidP="005E7A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osnovno školovanje za darovitu djecu i za djecu s teškoćama u razvoju prema posebno propisanim nastavnim planovima i programima</w:t>
      </w:r>
    </w:p>
    <w:p w14:paraId="1BBAE99E" w14:textId="77777777" w:rsidR="005E7A0E" w:rsidRPr="00401B41" w:rsidRDefault="005E7A0E" w:rsidP="005E7A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organizacija aktivnosti djece i mladeži u sklopu različitih udruga te učeničkih klubova i društava</w:t>
      </w:r>
    </w:p>
    <w:p w14:paraId="6CA112B9" w14:textId="77777777" w:rsidR="005E7A0E" w:rsidRPr="00401B41" w:rsidRDefault="005E7A0E" w:rsidP="005E7A0E">
      <w:pPr>
        <w:spacing w:line="259" w:lineRule="auto"/>
        <w:ind w:left="720"/>
        <w:jc w:val="both"/>
        <w:rPr>
          <w:rFonts w:ascii="Times New Roman" w:hAnsi="Times New Roman" w:cs="Times New Roman"/>
        </w:rPr>
      </w:pPr>
    </w:p>
    <w:p w14:paraId="259DB639" w14:textId="472FF928" w:rsidR="005E7A0E" w:rsidRPr="00401B41" w:rsidRDefault="005E7A0E" w:rsidP="00FB1C42">
      <w:pPr>
        <w:spacing w:line="259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Nastava je organizirana u jutarnjoj  smjeni, u petodnevnom radnom tjednu, sa slobodnim subotama. </w:t>
      </w:r>
      <w:r w:rsidR="00955FF2" w:rsidRPr="00401B41">
        <w:rPr>
          <w:rFonts w:ascii="Times New Roman" w:hAnsi="Times New Roman" w:cs="Times New Roman"/>
        </w:rPr>
        <w:t>Poslijepodnevni</w:t>
      </w:r>
      <w:r w:rsidRPr="00401B41">
        <w:rPr>
          <w:rFonts w:ascii="Times New Roman" w:hAnsi="Times New Roman" w:cs="Times New Roman"/>
        </w:rPr>
        <w:t xml:space="preserve"> sati koriste se za održavanje sjednica stručnih, razrednih i učiteljskih vijeća. Nastava, redovna, izborna, dodatna i dopunska izvodi se prema nastavnim planovima i programima, koje je donijelo Ministarstvo znanosti</w:t>
      </w:r>
      <w:r w:rsidR="00517E31" w:rsidRPr="00401B41">
        <w:rPr>
          <w:rFonts w:ascii="Times New Roman" w:hAnsi="Times New Roman" w:cs="Times New Roman"/>
        </w:rPr>
        <w:t xml:space="preserve"> i</w:t>
      </w:r>
      <w:r w:rsidRPr="00401B41">
        <w:rPr>
          <w:rFonts w:ascii="Times New Roman" w:hAnsi="Times New Roman" w:cs="Times New Roman"/>
        </w:rPr>
        <w:t xml:space="preserve"> obrazovanja  i operativnom Godišnjem izvedbenom odgojno obrazovanom planu i programu rada. </w:t>
      </w:r>
    </w:p>
    <w:p w14:paraId="5E72E33D" w14:textId="16764488" w:rsidR="005E7A0E" w:rsidRPr="00401B41" w:rsidRDefault="005E7A0E" w:rsidP="00FB1C42">
      <w:pPr>
        <w:spacing w:line="259" w:lineRule="auto"/>
        <w:ind w:left="708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Osnivač: Grad Koprivnica</w:t>
      </w:r>
    </w:p>
    <w:p w14:paraId="78849511" w14:textId="4CD93A87" w:rsidR="005E7A0E" w:rsidRPr="00401B41" w:rsidRDefault="005E7A0E" w:rsidP="005E7A0E">
      <w:pPr>
        <w:spacing w:line="259" w:lineRule="auto"/>
        <w:ind w:left="708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Osnivački akt: Odluka Gradskog vijeća Grada Koprivnice </w:t>
      </w:r>
    </w:p>
    <w:p w14:paraId="44A72C34" w14:textId="6B566E8C" w:rsidR="00764417" w:rsidRPr="00401B41" w:rsidRDefault="00764417" w:rsidP="00764417">
      <w:pPr>
        <w:spacing w:line="259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Za sastavljanje bilješki uz financijska izvješća odgovorna je Valentina Markić, voditeljica računovodstva.</w:t>
      </w:r>
    </w:p>
    <w:p w14:paraId="11579B53" w14:textId="0C80AB22" w:rsidR="005E7A0E" w:rsidRPr="00401B41" w:rsidRDefault="00764417" w:rsidP="00094A87">
      <w:pPr>
        <w:spacing w:line="259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Financijsko izvješće usvaja Školski odbor na prijedlog Ravnateljice.</w:t>
      </w:r>
    </w:p>
    <w:p w14:paraId="68EE733A" w14:textId="1778D640" w:rsidR="005E7A0E" w:rsidRPr="00401B41" w:rsidRDefault="005E7A0E" w:rsidP="005E7A0E">
      <w:pPr>
        <w:tabs>
          <w:tab w:val="left" w:pos="1140"/>
        </w:tabs>
        <w:spacing w:line="259" w:lineRule="auto"/>
        <w:jc w:val="both"/>
        <w:rPr>
          <w:rFonts w:ascii="Times New Roman" w:hAnsi="Times New Roman" w:cs="Times New Roman"/>
          <w:b/>
        </w:rPr>
      </w:pPr>
      <w:r w:rsidRPr="00401B41">
        <w:rPr>
          <w:rFonts w:ascii="Times New Roman" w:hAnsi="Times New Roman" w:cs="Times New Roman"/>
          <w:b/>
        </w:rPr>
        <w:t>Zakonske i druge podloge na kojima na kojima se zasnivaju programi:</w:t>
      </w:r>
    </w:p>
    <w:p w14:paraId="1733A324" w14:textId="11CEB9E6" w:rsidR="00576B5E" w:rsidRPr="00401B41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Zakon o odgoju i obrazovanju u osnovnoj i srednjoj školi (NN broj 87/08, 86/09., 92/10., 105/10, 90/11, 5/12, 16/12, 86/12, 126/12, 94/13, 152/14, 07/17, 68/18, 98/19, 64/20, 151/22</w:t>
      </w:r>
      <w:r w:rsidR="00764417" w:rsidRPr="00401B41">
        <w:rPr>
          <w:rFonts w:ascii="Times New Roman" w:hAnsi="Times New Roman" w:cs="Times New Roman"/>
        </w:rPr>
        <w:t>, 155/23 i 156/23</w:t>
      </w:r>
      <w:r w:rsidRPr="00401B41">
        <w:rPr>
          <w:rFonts w:ascii="Times New Roman" w:hAnsi="Times New Roman" w:cs="Times New Roman"/>
        </w:rPr>
        <w:t xml:space="preserve">), </w:t>
      </w:r>
    </w:p>
    <w:p w14:paraId="33065A92" w14:textId="77777777" w:rsidR="00576B5E" w:rsidRPr="00401B41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Zakon o ustanovama (NN 76/93., 29/97., 47/99. i 35/08, 127/19., 151/22), </w:t>
      </w:r>
    </w:p>
    <w:p w14:paraId="15CD5940" w14:textId="77777777" w:rsidR="00576B5E" w:rsidRPr="00401B41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Zakon o  proračunu  (NN broj 144/21), </w:t>
      </w:r>
    </w:p>
    <w:p w14:paraId="01E5A74C" w14:textId="77777777" w:rsidR="00576B5E" w:rsidRPr="00401B41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registrirani djelokrug rada ustanove.</w:t>
      </w:r>
    </w:p>
    <w:p w14:paraId="29990EE0" w14:textId="6B70A2E6" w:rsidR="00576B5E" w:rsidRPr="00401B41" w:rsidRDefault="00576B5E" w:rsidP="00FB1C42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Godišnji izvedbeni odgojno, obrazovni plan i program rada za školsku godinu 202</w:t>
      </w:r>
      <w:r w:rsidR="00764417" w:rsidRPr="00401B41">
        <w:rPr>
          <w:rFonts w:ascii="Times New Roman" w:hAnsi="Times New Roman" w:cs="Times New Roman"/>
        </w:rPr>
        <w:t>4</w:t>
      </w:r>
      <w:r w:rsidRPr="00401B41">
        <w:rPr>
          <w:rFonts w:ascii="Times New Roman" w:hAnsi="Times New Roman" w:cs="Times New Roman"/>
        </w:rPr>
        <w:t>./202</w:t>
      </w:r>
      <w:r w:rsidR="00764417" w:rsidRPr="00401B41">
        <w:rPr>
          <w:rFonts w:ascii="Times New Roman" w:hAnsi="Times New Roman" w:cs="Times New Roman"/>
        </w:rPr>
        <w:t>5</w:t>
      </w:r>
      <w:r w:rsidRPr="00401B41">
        <w:rPr>
          <w:rFonts w:ascii="Times New Roman" w:hAnsi="Times New Roman" w:cs="Times New Roman"/>
        </w:rPr>
        <w:t xml:space="preserve">. </w:t>
      </w:r>
    </w:p>
    <w:p w14:paraId="11C0056F" w14:textId="29EE7369" w:rsidR="00BC2855" w:rsidRPr="00401B41" w:rsidRDefault="00576B5E" w:rsidP="00094A87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Školski kurikulum OŠ „</w:t>
      </w:r>
      <w:proofErr w:type="spellStart"/>
      <w:r w:rsidR="00A141E6" w:rsidRPr="00401B41">
        <w:rPr>
          <w:rFonts w:ascii="Times New Roman" w:hAnsi="Times New Roman" w:cs="Times New Roman"/>
        </w:rPr>
        <w:t>Podolice</w:t>
      </w:r>
      <w:proofErr w:type="spellEnd"/>
      <w:r w:rsidRPr="00401B41">
        <w:rPr>
          <w:rFonts w:ascii="Times New Roman" w:hAnsi="Times New Roman" w:cs="Times New Roman"/>
        </w:rPr>
        <w:t>“, nastavne i izvannastavne aktivnosti za školsku godinu 202</w:t>
      </w:r>
      <w:r w:rsidR="00764417" w:rsidRPr="00401B41">
        <w:rPr>
          <w:rFonts w:ascii="Times New Roman" w:hAnsi="Times New Roman" w:cs="Times New Roman"/>
        </w:rPr>
        <w:t>4</w:t>
      </w:r>
      <w:r w:rsidR="003F2B5D" w:rsidRPr="00401B41">
        <w:rPr>
          <w:rFonts w:ascii="Times New Roman" w:hAnsi="Times New Roman" w:cs="Times New Roman"/>
        </w:rPr>
        <w:t>./2025.</w:t>
      </w:r>
    </w:p>
    <w:p w14:paraId="7CDCAAFF" w14:textId="77777777" w:rsidR="005E7A0E" w:rsidRPr="00401B41" w:rsidRDefault="005E7A0E" w:rsidP="00BC2855">
      <w:pPr>
        <w:spacing w:line="259" w:lineRule="auto"/>
        <w:jc w:val="both"/>
        <w:rPr>
          <w:rFonts w:ascii="Times New Roman" w:hAnsi="Times New Roman" w:cs="Times New Roman"/>
        </w:rPr>
      </w:pPr>
    </w:p>
    <w:p w14:paraId="46E7891C" w14:textId="77777777" w:rsidR="00FB1C42" w:rsidRPr="00401B41" w:rsidRDefault="00FB1C42" w:rsidP="005E7A0E">
      <w:pPr>
        <w:spacing w:line="259" w:lineRule="auto"/>
        <w:jc w:val="both"/>
        <w:rPr>
          <w:rFonts w:ascii="Times New Roman" w:hAnsi="Times New Roman" w:cs="Times New Roman"/>
          <w:b/>
        </w:rPr>
      </w:pPr>
    </w:p>
    <w:p w14:paraId="23874FBC" w14:textId="77777777" w:rsidR="00094A87" w:rsidRPr="00401B41" w:rsidRDefault="00094A87" w:rsidP="005E7A0E">
      <w:pPr>
        <w:spacing w:line="259" w:lineRule="auto"/>
        <w:jc w:val="both"/>
        <w:rPr>
          <w:rFonts w:ascii="Times New Roman" w:hAnsi="Times New Roman" w:cs="Times New Roman"/>
          <w:b/>
        </w:rPr>
      </w:pPr>
    </w:p>
    <w:p w14:paraId="5C25492A" w14:textId="66AD5AF5" w:rsidR="005E7A0E" w:rsidRPr="00401B41" w:rsidRDefault="005E7A0E" w:rsidP="005E7A0E">
      <w:pPr>
        <w:spacing w:line="259" w:lineRule="auto"/>
        <w:jc w:val="both"/>
        <w:rPr>
          <w:rFonts w:ascii="Times New Roman" w:hAnsi="Times New Roman" w:cs="Times New Roman"/>
          <w:b/>
        </w:rPr>
      </w:pPr>
      <w:r w:rsidRPr="00401B41">
        <w:rPr>
          <w:rFonts w:ascii="Times New Roman" w:hAnsi="Times New Roman" w:cs="Times New Roman"/>
          <w:b/>
        </w:rPr>
        <w:t>Usklađeni ciljevi, strategija i programi s dokumentima dugoročnog razvoja</w:t>
      </w:r>
    </w:p>
    <w:p w14:paraId="1D74C9CB" w14:textId="77777777" w:rsidR="005E7A0E" w:rsidRPr="00401B41" w:rsidRDefault="005E7A0E" w:rsidP="005E7A0E">
      <w:pPr>
        <w:spacing w:line="259" w:lineRule="auto"/>
        <w:ind w:left="720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Ciljevi, strategija i programi s dokumentima dugoročnog razvoja nalaze se u Državnom pedagoškom standardu, Nacionalnom kurikulumu i Nastavnom planu i programu škole.  </w:t>
      </w:r>
    </w:p>
    <w:p w14:paraId="246E3C0D" w14:textId="38D52853" w:rsidR="005E7A0E" w:rsidRPr="00401B41" w:rsidRDefault="005E7A0E" w:rsidP="005E7A0E">
      <w:pPr>
        <w:spacing w:line="259" w:lineRule="auto"/>
        <w:ind w:left="720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OŠ „</w:t>
      </w:r>
      <w:proofErr w:type="spellStart"/>
      <w:r w:rsidR="00A141E6" w:rsidRPr="00401B41">
        <w:rPr>
          <w:rFonts w:ascii="Times New Roman" w:hAnsi="Times New Roman" w:cs="Times New Roman"/>
        </w:rPr>
        <w:t>Podolice</w:t>
      </w:r>
      <w:proofErr w:type="spellEnd"/>
      <w:r w:rsidRPr="00401B41">
        <w:rPr>
          <w:rFonts w:ascii="Times New Roman" w:hAnsi="Times New Roman" w:cs="Times New Roman"/>
        </w:rPr>
        <w:t>“ donosi godišnji operativni plan i školski kurikulum, prema planu koje je donijelo Ministarstvo znanosti</w:t>
      </w:r>
      <w:r w:rsidR="002E36B8" w:rsidRPr="00401B41">
        <w:rPr>
          <w:rFonts w:ascii="Times New Roman" w:hAnsi="Times New Roman" w:cs="Times New Roman"/>
        </w:rPr>
        <w:t xml:space="preserve"> i</w:t>
      </w:r>
      <w:r w:rsidRPr="00401B41">
        <w:rPr>
          <w:rFonts w:ascii="Times New Roman" w:hAnsi="Times New Roman" w:cs="Times New Roman"/>
        </w:rPr>
        <w:t xml:space="preserve"> obrazovanja. Budući da se  navedeni planovi donose za školsku, a ne fiskalnu godinu, moguća su odstupanja od financijskih planova ukoliko dođe do pomaka nekih aktivnosti iz jednog polugodišta u drugo. Strateške planove donosi Ministarstvo i Grad Koprivnica.</w:t>
      </w:r>
    </w:p>
    <w:p w14:paraId="600B9BDB" w14:textId="77777777" w:rsidR="001D1E7E" w:rsidRPr="00401B41" w:rsidRDefault="001D1E7E" w:rsidP="005E7A0E">
      <w:pPr>
        <w:spacing w:line="259" w:lineRule="auto"/>
        <w:ind w:left="720"/>
        <w:jc w:val="both"/>
        <w:rPr>
          <w:rFonts w:ascii="Times New Roman" w:hAnsi="Times New Roman" w:cs="Times New Roman"/>
        </w:rPr>
      </w:pPr>
    </w:p>
    <w:p w14:paraId="38671932" w14:textId="574E5C7A" w:rsidR="005E7A0E" w:rsidRPr="00401B41" w:rsidRDefault="001D1E7E" w:rsidP="001D1E7E">
      <w:pPr>
        <w:pStyle w:val="Odlomakpopisa"/>
        <w:numPr>
          <w:ilvl w:val="0"/>
          <w:numId w:val="2"/>
        </w:numPr>
        <w:spacing w:line="259" w:lineRule="auto"/>
        <w:jc w:val="both"/>
        <w:rPr>
          <w:rFonts w:ascii="Times New Roman" w:hAnsi="Times New Roman" w:cs="Times New Roman"/>
          <w:b/>
          <w:bCs/>
        </w:rPr>
      </w:pPr>
      <w:r w:rsidRPr="00401B41">
        <w:rPr>
          <w:rFonts w:ascii="Times New Roman" w:hAnsi="Times New Roman" w:cs="Times New Roman"/>
          <w:b/>
          <w:bCs/>
        </w:rPr>
        <w:t xml:space="preserve">IZVRŠENJE </w:t>
      </w:r>
      <w:r w:rsidR="00094A87" w:rsidRPr="00401B41">
        <w:rPr>
          <w:rFonts w:ascii="Times New Roman" w:hAnsi="Times New Roman" w:cs="Times New Roman"/>
          <w:b/>
          <w:bCs/>
        </w:rPr>
        <w:t xml:space="preserve">PRIJEDLOGA </w:t>
      </w:r>
      <w:r w:rsidRPr="00401B41">
        <w:rPr>
          <w:rFonts w:ascii="Times New Roman" w:hAnsi="Times New Roman" w:cs="Times New Roman"/>
          <w:b/>
          <w:bCs/>
        </w:rPr>
        <w:t>FINANCIJSKOG PLANA OSNOVNE ŠKOLE „</w:t>
      </w:r>
      <w:r w:rsidR="00A141E6" w:rsidRPr="00401B41">
        <w:rPr>
          <w:rFonts w:ascii="Times New Roman" w:hAnsi="Times New Roman" w:cs="Times New Roman"/>
          <w:b/>
          <w:bCs/>
        </w:rPr>
        <w:t>PODOLICE</w:t>
      </w:r>
      <w:r w:rsidRPr="00401B41">
        <w:rPr>
          <w:rFonts w:ascii="Times New Roman" w:hAnsi="Times New Roman" w:cs="Times New Roman"/>
          <w:b/>
          <w:bCs/>
        </w:rPr>
        <w:t>“ KOPRIVNICA ZA</w:t>
      </w:r>
      <w:r w:rsidR="00B433FD" w:rsidRPr="00401B41">
        <w:rPr>
          <w:rFonts w:ascii="Times New Roman" w:hAnsi="Times New Roman" w:cs="Times New Roman"/>
          <w:b/>
          <w:bCs/>
        </w:rPr>
        <w:t xml:space="preserve"> RAZDOBLJE 01.01. – 30.06.</w:t>
      </w:r>
      <w:r w:rsidRPr="00401B41">
        <w:rPr>
          <w:rFonts w:ascii="Times New Roman" w:hAnsi="Times New Roman" w:cs="Times New Roman"/>
          <w:b/>
          <w:bCs/>
        </w:rPr>
        <w:t xml:space="preserve"> 20</w:t>
      </w:r>
      <w:r w:rsidR="00AF1ADE" w:rsidRPr="00401B41">
        <w:rPr>
          <w:rFonts w:ascii="Times New Roman" w:hAnsi="Times New Roman" w:cs="Times New Roman"/>
          <w:b/>
          <w:bCs/>
        </w:rPr>
        <w:t>2</w:t>
      </w:r>
      <w:r w:rsidR="00B433FD" w:rsidRPr="00401B41">
        <w:rPr>
          <w:rFonts w:ascii="Times New Roman" w:hAnsi="Times New Roman" w:cs="Times New Roman"/>
          <w:b/>
          <w:bCs/>
        </w:rPr>
        <w:t>5</w:t>
      </w:r>
      <w:r w:rsidRPr="00401B41">
        <w:rPr>
          <w:rFonts w:ascii="Times New Roman" w:hAnsi="Times New Roman" w:cs="Times New Roman"/>
          <w:b/>
          <w:bCs/>
        </w:rPr>
        <w:t>. GODIN</w:t>
      </w:r>
      <w:r w:rsidR="00B433FD" w:rsidRPr="00401B41">
        <w:rPr>
          <w:rFonts w:ascii="Times New Roman" w:hAnsi="Times New Roman" w:cs="Times New Roman"/>
          <w:b/>
          <w:bCs/>
        </w:rPr>
        <w:t>E</w:t>
      </w:r>
    </w:p>
    <w:p w14:paraId="663E5792" w14:textId="6A9A78F4" w:rsidR="006B7A01" w:rsidRPr="00401B41" w:rsidRDefault="006B7A01" w:rsidP="006B7A01">
      <w:pPr>
        <w:spacing w:line="259" w:lineRule="auto"/>
        <w:ind w:left="360" w:firstLine="348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U općem  dijelu </w:t>
      </w:r>
      <w:r w:rsidR="00B433FD" w:rsidRPr="00401B41">
        <w:rPr>
          <w:rFonts w:ascii="Times New Roman" w:hAnsi="Times New Roman" w:cs="Times New Roman"/>
        </w:rPr>
        <w:t xml:space="preserve">polugodišnjeg </w:t>
      </w:r>
      <w:r w:rsidRPr="00401B41">
        <w:rPr>
          <w:rFonts w:ascii="Times New Roman" w:hAnsi="Times New Roman" w:cs="Times New Roman"/>
        </w:rPr>
        <w:t xml:space="preserve"> izvješća o izvršenju Financijskog plana OŠ „</w:t>
      </w:r>
      <w:proofErr w:type="spellStart"/>
      <w:r w:rsidR="00A141E6" w:rsidRPr="00401B41">
        <w:rPr>
          <w:rFonts w:ascii="Times New Roman" w:hAnsi="Times New Roman" w:cs="Times New Roman"/>
        </w:rPr>
        <w:t>Podolice</w:t>
      </w:r>
      <w:proofErr w:type="spellEnd"/>
      <w:r w:rsidRPr="00401B41">
        <w:rPr>
          <w:rFonts w:ascii="Times New Roman" w:hAnsi="Times New Roman" w:cs="Times New Roman"/>
        </w:rPr>
        <w:t xml:space="preserve">“ Koprivnica za </w:t>
      </w:r>
      <w:r w:rsidR="00764417" w:rsidRPr="00401B41">
        <w:rPr>
          <w:rFonts w:ascii="Times New Roman" w:hAnsi="Times New Roman" w:cs="Times New Roman"/>
        </w:rPr>
        <w:t>razdoblje 01.01. – 30.06.</w:t>
      </w:r>
      <w:r w:rsidRPr="00401B41">
        <w:rPr>
          <w:rFonts w:ascii="Times New Roman" w:hAnsi="Times New Roman" w:cs="Times New Roman"/>
        </w:rPr>
        <w:t>20</w:t>
      </w:r>
      <w:r w:rsidR="002E0E08" w:rsidRPr="00401B41">
        <w:rPr>
          <w:rFonts w:ascii="Times New Roman" w:hAnsi="Times New Roman" w:cs="Times New Roman"/>
        </w:rPr>
        <w:t>2</w:t>
      </w:r>
      <w:r w:rsidR="00764417" w:rsidRPr="00401B41">
        <w:rPr>
          <w:rFonts w:ascii="Times New Roman" w:hAnsi="Times New Roman" w:cs="Times New Roman"/>
        </w:rPr>
        <w:t>5</w:t>
      </w:r>
      <w:r w:rsidRPr="00401B41">
        <w:rPr>
          <w:rFonts w:ascii="Times New Roman" w:hAnsi="Times New Roman" w:cs="Times New Roman"/>
        </w:rPr>
        <w:t>. godin</w:t>
      </w:r>
      <w:r w:rsidR="00764417" w:rsidRPr="00401B41">
        <w:rPr>
          <w:rFonts w:ascii="Times New Roman" w:hAnsi="Times New Roman" w:cs="Times New Roman"/>
        </w:rPr>
        <w:t>e</w:t>
      </w:r>
      <w:r w:rsidRPr="00401B41">
        <w:rPr>
          <w:rFonts w:ascii="Times New Roman" w:hAnsi="Times New Roman" w:cs="Times New Roman"/>
        </w:rPr>
        <w:t xml:space="preserve"> iskazani su podaci o planiranim prihodima/primicima i rashodima/izdacima te podaci o njihovoj realizaciji.</w:t>
      </w:r>
    </w:p>
    <w:p w14:paraId="3ED76296" w14:textId="50E6049F" w:rsidR="00764417" w:rsidRPr="00401B41" w:rsidRDefault="00764417" w:rsidP="00764417">
      <w:pPr>
        <w:spacing w:line="259" w:lineRule="auto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ab/>
        <w:t>Sukladno čl. 17. Pravilnika o polugodišnjem i godišnjem izvještaju o izvršenju proračuna i financijskog plana u nastavku Obrazloženje polugodišnjeg izvještaja o izvršenju financijskog plana sastoji se od obrazloženja općeg dijela i viškova i manjkova iz prethodne godine.</w:t>
      </w:r>
    </w:p>
    <w:p w14:paraId="00B27607" w14:textId="77777777" w:rsidR="00023761" w:rsidRPr="00401B41" w:rsidRDefault="00023761" w:rsidP="006B7A01">
      <w:pPr>
        <w:spacing w:line="259" w:lineRule="auto"/>
        <w:ind w:left="360" w:firstLine="348"/>
        <w:jc w:val="both"/>
        <w:rPr>
          <w:rFonts w:ascii="Times New Roman" w:hAnsi="Times New Roman" w:cs="Times New Roman"/>
        </w:rPr>
      </w:pPr>
    </w:p>
    <w:p w14:paraId="08162373" w14:textId="40BBE571" w:rsidR="00B44D4C" w:rsidRPr="00401B41" w:rsidRDefault="006B7A01" w:rsidP="002E0E08">
      <w:pPr>
        <w:spacing w:line="259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401B41">
        <w:rPr>
          <w:rFonts w:ascii="Times New Roman" w:hAnsi="Times New Roman" w:cs="Times New Roman"/>
          <w:b/>
          <w:bCs/>
        </w:rPr>
        <w:t>2.1. OPĆI DIO</w:t>
      </w:r>
    </w:p>
    <w:p w14:paraId="035DF433" w14:textId="3BFFD46C" w:rsidR="00186B39" w:rsidRPr="00401B41" w:rsidRDefault="00186B39" w:rsidP="002E0E08">
      <w:pPr>
        <w:spacing w:line="259" w:lineRule="auto"/>
        <w:ind w:left="360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b/>
          <w:bCs/>
        </w:rPr>
        <w:tab/>
        <w:t>Pomoći iz inoz</w:t>
      </w:r>
      <w:r w:rsidR="004974A1" w:rsidRPr="00401B41">
        <w:rPr>
          <w:rFonts w:ascii="Times New Roman" w:hAnsi="Times New Roman" w:cs="Times New Roman"/>
          <w:b/>
          <w:bCs/>
        </w:rPr>
        <w:t>e</w:t>
      </w:r>
      <w:r w:rsidRPr="00401B41">
        <w:rPr>
          <w:rFonts w:ascii="Times New Roman" w:hAnsi="Times New Roman" w:cs="Times New Roman"/>
          <w:b/>
          <w:bCs/>
        </w:rPr>
        <w:t xml:space="preserve">mstva i od subjekata unutar općeg proračun 63 </w:t>
      </w:r>
      <w:r w:rsidR="00764417" w:rsidRPr="00401B41">
        <w:rPr>
          <w:rFonts w:ascii="Times New Roman" w:hAnsi="Times New Roman" w:cs="Times New Roman"/>
        </w:rPr>
        <w:t>u prvih 6 mjeseci 2025. godine</w:t>
      </w:r>
      <w:r w:rsidR="005D6EC0" w:rsidRPr="00401B41">
        <w:rPr>
          <w:rFonts w:ascii="Times New Roman" w:hAnsi="Times New Roman" w:cs="Times New Roman"/>
        </w:rPr>
        <w:t xml:space="preserve"> ostvareno je 49 % planiranih prihoda</w:t>
      </w:r>
      <w:r w:rsidR="00F16DF4" w:rsidRPr="00401B41">
        <w:rPr>
          <w:rFonts w:ascii="Times New Roman" w:hAnsi="Times New Roman" w:cs="Times New Roman"/>
        </w:rPr>
        <w:t xml:space="preserve"> u iznosu od 1.209.224,10 </w:t>
      </w:r>
      <w:proofErr w:type="spellStart"/>
      <w:r w:rsidR="00F16DF4" w:rsidRPr="00401B41">
        <w:rPr>
          <w:rFonts w:ascii="Times New Roman" w:hAnsi="Times New Roman" w:cs="Times New Roman"/>
        </w:rPr>
        <w:t>eur</w:t>
      </w:r>
      <w:proofErr w:type="spellEnd"/>
      <w:r w:rsidR="005D6EC0" w:rsidRPr="00401B41">
        <w:rPr>
          <w:rFonts w:ascii="Times New Roman" w:hAnsi="Times New Roman" w:cs="Times New Roman"/>
        </w:rPr>
        <w:t xml:space="preserve">, a radi se o sljedećim prihodima: </w:t>
      </w:r>
    </w:p>
    <w:p w14:paraId="207DEDD8" w14:textId="7072E14C" w:rsidR="00B251FD" w:rsidRPr="00401B41" w:rsidRDefault="005D6EC0" w:rsidP="00F14D7C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P</w:t>
      </w:r>
      <w:r w:rsidR="00B44D4C" w:rsidRPr="00401B41">
        <w:rPr>
          <w:rFonts w:ascii="Times New Roman" w:hAnsi="Times New Roman" w:cs="Times New Roman"/>
          <w:u w:val="single"/>
        </w:rPr>
        <w:t>omoći proračunskim korisnicima iz proračuna koji im nije nadležan 6361</w:t>
      </w:r>
      <w:r w:rsidR="00B44D4C" w:rsidRPr="00401B41">
        <w:rPr>
          <w:rFonts w:ascii="Times New Roman" w:hAnsi="Times New Roman" w:cs="Times New Roman"/>
          <w:b/>
          <w:bCs/>
        </w:rPr>
        <w:t xml:space="preserve"> </w:t>
      </w:r>
      <w:r w:rsidR="00B44D4C" w:rsidRPr="00401B41">
        <w:rPr>
          <w:rFonts w:ascii="Times New Roman" w:hAnsi="Times New Roman" w:cs="Times New Roman"/>
        </w:rPr>
        <w:t xml:space="preserve">bilježe </w:t>
      </w:r>
      <w:r w:rsidR="00576B5E" w:rsidRPr="00401B41">
        <w:rPr>
          <w:rFonts w:ascii="Times New Roman" w:hAnsi="Times New Roman" w:cs="Times New Roman"/>
        </w:rPr>
        <w:t>porast</w:t>
      </w:r>
      <w:r w:rsidR="00B44D4C" w:rsidRPr="00401B41">
        <w:rPr>
          <w:rFonts w:ascii="Times New Roman" w:hAnsi="Times New Roman" w:cs="Times New Roman"/>
        </w:rPr>
        <w:t xml:space="preserve"> u odnosu na</w:t>
      </w:r>
      <w:r w:rsidRPr="00401B41">
        <w:rPr>
          <w:rFonts w:ascii="Times New Roman" w:hAnsi="Times New Roman" w:cs="Times New Roman"/>
        </w:rPr>
        <w:t xml:space="preserve"> isto razdoblje</w:t>
      </w:r>
      <w:r w:rsidR="00B44D4C" w:rsidRPr="00401B41">
        <w:rPr>
          <w:rFonts w:ascii="Times New Roman" w:hAnsi="Times New Roman" w:cs="Times New Roman"/>
        </w:rPr>
        <w:t xml:space="preserve"> 20</w:t>
      </w:r>
      <w:r w:rsidR="00BC2855" w:rsidRPr="00401B41">
        <w:rPr>
          <w:rFonts w:ascii="Times New Roman" w:hAnsi="Times New Roman" w:cs="Times New Roman"/>
        </w:rPr>
        <w:t>2</w:t>
      </w:r>
      <w:r w:rsidRPr="00401B41">
        <w:rPr>
          <w:rFonts w:ascii="Times New Roman" w:hAnsi="Times New Roman" w:cs="Times New Roman"/>
        </w:rPr>
        <w:t>4</w:t>
      </w:r>
      <w:r w:rsidR="00B44D4C" w:rsidRPr="00401B41">
        <w:rPr>
          <w:rFonts w:ascii="Times New Roman" w:hAnsi="Times New Roman" w:cs="Times New Roman"/>
        </w:rPr>
        <w:t>.</w:t>
      </w:r>
      <w:r w:rsidR="00424AE2" w:rsidRPr="00401B41">
        <w:rPr>
          <w:rFonts w:ascii="Times New Roman" w:hAnsi="Times New Roman" w:cs="Times New Roman"/>
        </w:rPr>
        <w:t xml:space="preserve"> godin</w:t>
      </w:r>
      <w:r w:rsidRPr="00401B41">
        <w:rPr>
          <w:rFonts w:ascii="Times New Roman" w:hAnsi="Times New Roman" w:cs="Times New Roman"/>
        </w:rPr>
        <w:t>e</w:t>
      </w:r>
      <w:r w:rsidR="00F16DF4" w:rsidRPr="00401B41">
        <w:rPr>
          <w:rFonts w:ascii="Times New Roman" w:hAnsi="Times New Roman" w:cs="Times New Roman"/>
        </w:rPr>
        <w:t xml:space="preserve"> za 16</w:t>
      </w:r>
      <w:r w:rsidR="00035D72" w:rsidRPr="00401B41">
        <w:rPr>
          <w:rFonts w:ascii="Times New Roman" w:hAnsi="Times New Roman" w:cs="Times New Roman"/>
        </w:rPr>
        <w:t xml:space="preserve"> </w:t>
      </w:r>
      <w:r w:rsidR="00F16DF4" w:rsidRPr="00401B41">
        <w:rPr>
          <w:rFonts w:ascii="Times New Roman" w:hAnsi="Times New Roman" w:cs="Times New Roman"/>
        </w:rPr>
        <w:t>%</w:t>
      </w:r>
      <w:r w:rsidR="00B44D4C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 xml:space="preserve">zbog povećanja prihoda </w:t>
      </w:r>
      <w:r w:rsidR="00576B5E" w:rsidRPr="00401B41">
        <w:rPr>
          <w:rFonts w:ascii="Times New Roman" w:hAnsi="Times New Roman" w:cs="Times New Roman"/>
        </w:rPr>
        <w:t xml:space="preserve">za financiranje plaća zaposlenika. Razlog povećanja je Uredba o koeficijentima </w:t>
      </w:r>
      <w:r w:rsidR="002C71C5" w:rsidRPr="00401B41">
        <w:rPr>
          <w:rFonts w:ascii="Times New Roman" w:hAnsi="Times New Roman" w:cs="Times New Roman"/>
        </w:rPr>
        <w:t xml:space="preserve">za obračun plaća u javnim službama </w:t>
      </w:r>
      <w:r w:rsidR="00576B5E" w:rsidRPr="00401B41">
        <w:rPr>
          <w:rFonts w:ascii="Times New Roman" w:hAnsi="Times New Roman" w:cs="Times New Roman"/>
        </w:rPr>
        <w:t>kojom su povećani koeficijenti svim zaposlenicima</w:t>
      </w:r>
      <w:r w:rsidR="001B1EC4">
        <w:rPr>
          <w:rFonts w:ascii="Times New Roman" w:hAnsi="Times New Roman" w:cs="Times New Roman"/>
        </w:rPr>
        <w:t xml:space="preserve">,  a rasla je i osnovica za obračun plaća u javnim službama u 2025.godini. </w:t>
      </w:r>
      <w:r w:rsidR="002C71C5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 xml:space="preserve">Također su ostvareni prihodi za </w:t>
      </w:r>
      <w:r w:rsidR="002C71C5" w:rsidRPr="00401B41">
        <w:rPr>
          <w:rFonts w:ascii="Times New Roman" w:hAnsi="Times New Roman" w:cs="Times New Roman"/>
        </w:rPr>
        <w:t xml:space="preserve"> financiranje prehrane učenika</w:t>
      </w:r>
      <w:r w:rsidRPr="00401B41">
        <w:rPr>
          <w:rFonts w:ascii="Times New Roman" w:hAnsi="Times New Roman" w:cs="Times New Roman"/>
        </w:rPr>
        <w:t>,</w:t>
      </w:r>
      <w:r w:rsidR="00035D72" w:rsidRPr="00401B41">
        <w:rPr>
          <w:rFonts w:ascii="Times New Roman" w:hAnsi="Times New Roman" w:cs="Times New Roman"/>
        </w:rPr>
        <w:t xml:space="preserve"> </w:t>
      </w:r>
      <w:r w:rsidR="002C71C5" w:rsidRPr="00401B41">
        <w:rPr>
          <w:rFonts w:ascii="Times New Roman" w:hAnsi="Times New Roman" w:cs="Times New Roman"/>
        </w:rPr>
        <w:t>prihode za nabavu ud</w:t>
      </w:r>
      <w:r w:rsidR="000F0B86" w:rsidRPr="00401B41">
        <w:rPr>
          <w:rFonts w:ascii="Times New Roman" w:hAnsi="Times New Roman" w:cs="Times New Roman"/>
        </w:rPr>
        <w:t>žbenika, menstrualnih potrepština,  županijska stručna vijeća i terensku nastavu u Jasenovac</w:t>
      </w:r>
      <w:r w:rsidR="000E2409" w:rsidRPr="00401B41">
        <w:rPr>
          <w:rFonts w:ascii="Times New Roman" w:hAnsi="Times New Roman" w:cs="Times New Roman"/>
        </w:rPr>
        <w:t xml:space="preserve">, te prihod za provođenje aktivnosti B1 </w:t>
      </w:r>
      <w:r w:rsidRPr="00401B41">
        <w:rPr>
          <w:rFonts w:ascii="Times New Roman" w:hAnsi="Times New Roman" w:cs="Times New Roman"/>
        </w:rPr>
        <w:t xml:space="preserve">i </w:t>
      </w:r>
      <w:r w:rsidR="000E2409" w:rsidRPr="00401B41">
        <w:rPr>
          <w:rFonts w:ascii="Times New Roman" w:hAnsi="Times New Roman" w:cs="Times New Roman"/>
        </w:rPr>
        <w:t>B2 aktivnosti</w:t>
      </w:r>
      <w:r w:rsidRPr="00401B41">
        <w:rPr>
          <w:rFonts w:ascii="Times New Roman" w:hAnsi="Times New Roman" w:cs="Times New Roman"/>
        </w:rPr>
        <w:t>, operativni troškovi i mala darovnica</w:t>
      </w:r>
      <w:r w:rsidR="000E2409" w:rsidRPr="00401B41">
        <w:rPr>
          <w:rFonts w:ascii="Times New Roman" w:hAnsi="Times New Roman" w:cs="Times New Roman"/>
        </w:rPr>
        <w:t xml:space="preserve"> u sklopu provođenja </w:t>
      </w:r>
      <w:r w:rsidR="00DA3447" w:rsidRPr="00401B41">
        <w:rPr>
          <w:rFonts w:ascii="Times New Roman" w:hAnsi="Times New Roman" w:cs="Times New Roman"/>
        </w:rPr>
        <w:t xml:space="preserve">eksperimentalnog programa </w:t>
      </w:r>
      <w:r w:rsidR="000E2409" w:rsidRPr="00401B41">
        <w:rPr>
          <w:rFonts w:ascii="Times New Roman" w:hAnsi="Times New Roman" w:cs="Times New Roman"/>
        </w:rPr>
        <w:t xml:space="preserve">cjelodnevne </w:t>
      </w:r>
      <w:r w:rsidR="00DA3447" w:rsidRPr="00401B41">
        <w:rPr>
          <w:rFonts w:ascii="Times New Roman" w:hAnsi="Times New Roman" w:cs="Times New Roman"/>
        </w:rPr>
        <w:t xml:space="preserve">škole, </w:t>
      </w:r>
      <w:r w:rsidR="00F208E9" w:rsidRPr="00401B41">
        <w:rPr>
          <w:rFonts w:ascii="Times New Roman" w:hAnsi="Times New Roman" w:cs="Times New Roman"/>
        </w:rPr>
        <w:t xml:space="preserve">te </w:t>
      </w:r>
      <w:r w:rsidR="00DA3447" w:rsidRPr="00401B41">
        <w:rPr>
          <w:rFonts w:ascii="Times New Roman" w:hAnsi="Times New Roman" w:cs="Times New Roman"/>
        </w:rPr>
        <w:t>prihod Koprivničko – križevačke županije za županijska natjecanja</w:t>
      </w:r>
      <w:r w:rsidRPr="00401B41">
        <w:rPr>
          <w:rFonts w:ascii="Times New Roman" w:hAnsi="Times New Roman" w:cs="Times New Roman"/>
        </w:rPr>
        <w:t>.</w:t>
      </w:r>
    </w:p>
    <w:p w14:paraId="3CC5FEF4" w14:textId="5BBD1E71" w:rsidR="00B251FD" w:rsidRPr="00401B41" w:rsidRDefault="000C0B7D" w:rsidP="005D6EC0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Tekući prijenosi između proračunskih korisnika istog proračuna 639</w:t>
      </w:r>
      <w:r w:rsidR="00733BD9" w:rsidRPr="00401B41">
        <w:rPr>
          <w:rFonts w:ascii="Times New Roman" w:hAnsi="Times New Roman" w:cs="Times New Roman"/>
          <w:u w:val="single"/>
        </w:rPr>
        <w:t>1</w:t>
      </w:r>
      <w:r w:rsidR="00733BD9" w:rsidRPr="00401B41">
        <w:rPr>
          <w:rFonts w:ascii="Times New Roman" w:hAnsi="Times New Roman" w:cs="Times New Roman"/>
          <w:b/>
          <w:bCs/>
        </w:rPr>
        <w:t xml:space="preserve"> </w:t>
      </w:r>
      <w:r w:rsidR="00733BD9" w:rsidRPr="00401B41">
        <w:rPr>
          <w:rFonts w:ascii="Times New Roman" w:hAnsi="Times New Roman" w:cs="Times New Roman"/>
        </w:rPr>
        <w:t>uključuju sredstva za financiranje Sheme voća i mlijeka te 1</w:t>
      </w:r>
      <w:r w:rsidR="00055030" w:rsidRPr="00401B41">
        <w:rPr>
          <w:rFonts w:ascii="Times New Roman" w:hAnsi="Times New Roman" w:cs="Times New Roman"/>
        </w:rPr>
        <w:t>5</w:t>
      </w:r>
      <w:r w:rsidR="00733BD9" w:rsidRPr="00401B41">
        <w:rPr>
          <w:rFonts w:ascii="Times New Roman" w:hAnsi="Times New Roman" w:cs="Times New Roman"/>
        </w:rPr>
        <w:t xml:space="preserve">% prihvatljivog </w:t>
      </w:r>
      <w:r w:rsidR="007A1D1B" w:rsidRPr="00401B41">
        <w:rPr>
          <w:rFonts w:ascii="Times New Roman" w:hAnsi="Times New Roman" w:cs="Times New Roman"/>
        </w:rPr>
        <w:t xml:space="preserve"> </w:t>
      </w:r>
      <w:r w:rsidR="00733BD9" w:rsidRPr="00401B41">
        <w:rPr>
          <w:rFonts w:ascii="Times New Roman" w:hAnsi="Times New Roman" w:cs="Times New Roman"/>
        </w:rPr>
        <w:t>troška plaće i ostalih rashoda iz projek</w:t>
      </w:r>
      <w:r w:rsidR="005D6EC0" w:rsidRPr="00401B41">
        <w:rPr>
          <w:rFonts w:ascii="Times New Roman" w:hAnsi="Times New Roman" w:cs="Times New Roman"/>
        </w:rPr>
        <w:t>ta</w:t>
      </w:r>
      <w:r w:rsidR="009525FA" w:rsidRPr="00401B41">
        <w:rPr>
          <w:rFonts w:ascii="Times New Roman" w:hAnsi="Times New Roman" w:cs="Times New Roman"/>
        </w:rPr>
        <w:t xml:space="preserve"> Odjek V</w:t>
      </w:r>
      <w:r w:rsidR="001D5329" w:rsidRPr="00401B41">
        <w:rPr>
          <w:rFonts w:ascii="Times New Roman" w:hAnsi="Times New Roman" w:cs="Times New Roman"/>
        </w:rPr>
        <w:t>I</w:t>
      </w:r>
      <w:r w:rsidR="009525FA" w:rsidRPr="00401B41">
        <w:rPr>
          <w:rFonts w:ascii="Times New Roman" w:hAnsi="Times New Roman" w:cs="Times New Roman"/>
        </w:rPr>
        <w:t>I</w:t>
      </w:r>
      <w:r w:rsidR="00242B3F" w:rsidRPr="00401B41">
        <w:rPr>
          <w:rFonts w:ascii="Times New Roman" w:hAnsi="Times New Roman" w:cs="Times New Roman"/>
        </w:rPr>
        <w:t>.</w:t>
      </w:r>
      <w:r w:rsidR="009525FA" w:rsidRPr="00401B41">
        <w:rPr>
          <w:rFonts w:ascii="Times New Roman" w:hAnsi="Times New Roman" w:cs="Times New Roman"/>
        </w:rPr>
        <w:t xml:space="preserve"> Prihodi su</w:t>
      </w:r>
      <w:r w:rsidR="001D5329" w:rsidRPr="00401B41">
        <w:rPr>
          <w:rFonts w:ascii="Times New Roman" w:hAnsi="Times New Roman" w:cs="Times New Roman"/>
        </w:rPr>
        <w:t xml:space="preserve"> veći</w:t>
      </w:r>
      <w:r w:rsidR="009525FA" w:rsidRPr="00401B41">
        <w:rPr>
          <w:rFonts w:ascii="Times New Roman" w:hAnsi="Times New Roman" w:cs="Times New Roman"/>
        </w:rPr>
        <w:t xml:space="preserve"> u odnosu na 202</w:t>
      </w:r>
      <w:r w:rsidR="005D6EC0" w:rsidRPr="00401B41">
        <w:rPr>
          <w:rFonts w:ascii="Times New Roman" w:hAnsi="Times New Roman" w:cs="Times New Roman"/>
        </w:rPr>
        <w:t>4</w:t>
      </w:r>
      <w:r w:rsidR="009525FA" w:rsidRPr="00401B41">
        <w:rPr>
          <w:rFonts w:ascii="Times New Roman" w:hAnsi="Times New Roman" w:cs="Times New Roman"/>
        </w:rPr>
        <w:t>. godinu</w:t>
      </w:r>
      <w:r w:rsidR="00F16DF4" w:rsidRPr="00401B41">
        <w:rPr>
          <w:rFonts w:ascii="Times New Roman" w:hAnsi="Times New Roman" w:cs="Times New Roman"/>
        </w:rPr>
        <w:t xml:space="preserve"> za 90 %</w:t>
      </w:r>
      <w:r w:rsidR="009525FA" w:rsidRPr="00401B41">
        <w:rPr>
          <w:rFonts w:ascii="Times New Roman" w:hAnsi="Times New Roman" w:cs="Times New Roman"/>
        </w:rPr>
        <w:t xml:space="preserve"> </w:t>
      </w:r>
      <w:r w:rsidR="006A369F" w:rsidRPr="00401B41">
        <w:rPr>
          <w:rFonts w:ascii="Times New Roman" w:hAnsi="Times New Roman" w:cs="Times New Roman"/>
        </w:rPr>
        <w:t>zbog povećanja bruto satnice</w:t>
      </w:r>
      <w:r w:rsidR="00242B3F" w:rsidRPr="00401B41">
        <w:rPr>
          <w:rFonts w:ascii="Times New Roman" w:hAnsi="Times New Roman" w:cs="Times New Roman"/>
        </w:rPr>
        <w:t xml:space="preserve"> u Odjeku VII</w:t>
      </w:r>
      <w:r w:rsidR="002B2B2D" w:rsidRPr="00401B41">
        <w:rPr>
          <w:rFonts w:ascii="Times New Roman" w:hAnsi="Times New Roman" w:cs="Times New Roman"/>
        </w:rPr>
        <w:t xml:space="preserve">, te više ostvarenih </w:t>
      </w:r>
      <w:r w:rsidR="00055030" w:rsidRPr="00401B41">
        <w:rPr>
          <w:rFonts w:ascii="Times New Roman" w:hAnsi="Times New Roman" w:cs="Times New Roman"/>
        </w:rPr>
        <w:t>materijaln</w:t>
      </w:r>
      <w:r w:rsidR="002B2B2D" w:rsidRPr="00401B41">
        <w:rPr>
          <w:rFonts w:ascii="Times New Roman" w:hAnsi="Times New Roman" w:cs="Times New Roman"/>
        </w:rPr>
        <w:t>ih</w:t>
      </w:r>
      <w:r w:rsidR="00055030" w:rsidRPr="00401B41">
        <w:rPr>
          <w:rFonts w:ascii="Times New Roman" w:hAnsi="Times New Roman" w:cs="Times New Roman"/>
        </w:rPr>
        <w:t xml:space="preserve"> prava nego u prethodnoj godini</w:t>
      </w:r>
      <w:r w:rsidR="00035D72" w:rsidRPr="00401B41">
        <w:rPr>
          <w:rFonts w:ascii="Times New Roman" w:hAnsi="Times New Roman" w:cs="Times New Roman"/>
        </w:rPr>
        <w:t xml:space="preserve">, dok su prihodi za financiranje sheme voća i mlijeka povećani su </w:t>
      </w:r>
      <w:r w:rsidR="00B82C31" w:rsidRPr="00401B41">
        <w:rPr>
          <w:rFonts w:ascii="Times New Roman" w:hAnsi="Times New Roman" w:cs="Times New Roman"/>
        </w:rPr>
        <w:t>u odnosu na 2024. godinu za 55%.</w:t>
      </w:r>
    </w:p>
    <w:p w14:paraId="149FB0B1" w14:textId="4D9BA7EC" w:rsidR="00F16DF4" w:rsidRDefault="009525FA" w:rsidP="00401B4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 </w:t>
      </w:r>
      <w:r w:rsidR="003E2664" w:rsidRPr="00401B41">
        <w:rPr>
          <w:rFonts w:ascii="Times New Roman" w:hAnsi="Times New Roman" w:cs="Times New Roman"/>
        </w:rPr>
        <w:t xml:space="preserve"> </w:t>
      </w:r>
      <w:r w:rsidR="00733BD9" w:rsidRPr="00401B41">
        <w:rPr>
          <w:rFonts w:ascii="Times New Roman" w:hAnsi="Times New Roman" w:cs="Times New Roman"/>
          <w:u w:val="single"/>
        </w:rPr>
        <w:t>Tekući prijenosi između proračunskih korisnika istog proračuna temeljem prijenosa EU sredstava 6393</w:t>
      </w:r>
      <w:r w:rsidR="00733BD9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koj</w:t>
      </w:r>
      <w:r w:rsidR="00F16DF4" w:rsidRPr="00401B41">
        <w:rPr>
          <w:rFonts w:ascii="Times New Roman" w:hAnsi="Times New Roman" w:cs="Times New Roman"/>
        </w:rPr>
        <w:t xml:space="preserve">i </w:t>
      </w:r>
      <w:r w:rsidRPr="00401B41">
        <w:rPr>
          <w:rFonts w:ascii="Times New Roman" w:hAnsi="Times New Roman" w:cs="Times New Roman"/>
        </w:rPr>
        <w:t xml:space="preserve">se </w:t>
      </w:r>
      <w:r w:rsidR="00733BD9" w:rsidRPr="00401B41">
        <w:rPr>
          <w:rFonts w:ascii="Times New Roman" w:hAnsi="Times New Roman" w:cs="Times New Roman"/>
        </w:rPr>
        <w:t xml:space="preserve">koriste za financiranje </w:t>
      </w:r>
      <w:r w:rsidR="00055030" w:rsidRPr="00401B41">
        <w:rPr>
          <w:rFonts w:ascii="Times New Roman" w:hAnsi="Times New Roman" w:cs="Times New Roman"/>
        </w:rPr>
        <w:t>85</w:t>
      </w:r>
      <w:r w:rsidR="00733BD9" w:rsidRPr="00401B41">
        <w:rPr>
          <w:rFonts w:ascii="Times New Roman" w:hAnsi="Times New Roman" w:cs="Times New Roman"/>
        </w:rPr>
        <w:t>% prihvatljivog troška plaće i ostalih rashoda iz projek</w:t>
      </w:r>
      <w:r w:rsidR="007A1D1B" w:rsidRPr="00401B41">
        <w:rPr>
          <w:rFonts w:ascii="Times New Roman" w:hAnsi="Times New Roman" w:cs="Times New Roman"/>
        </w:rPr>
        <w:t>a</w:t>
      </w:r>
      <w:r w:rsidR="00733BD9" w:rsidRPr="00401B41">
        <w:rPr>
          <w:rFonts w:ascii="Times New Roman" w:hAnsi="Times New Roman" w:cs="Times New Roman"/>
        </w:rPr>
        <w:t xml:space="preserve">ta </w:t>
      </w:r>
      <w:r w:rsidR="003E2664" w:rsidRPr="00401B41">
        <w:rPr>
          <w:rFonts w:ascii="Times New Roman" w:hAnsi="Times New Roman" w:cs="Times New Roman"/>
        </w:rPr>
        <w:t>Odjek V</w:t>
      </w:r>
      <w:r w:rsidR="00806958" w:rsidRPr="00401B41">
        <w:rPr>
          <w:rFonts w:ascii="Times New Roman" w:hAnsi="Times New Roman" w:cs="Times New Roman"/>
        </w:rPr>
        <w:t>I</w:t>
      </w:r>
      <w:r w:rsidR="00055030" w:rsidRPr="00401B41">
        <w:rPr>
          <w:rFonts w:ascii="Times New Roman" w:hAnsi="Times New Roman" w:cs="Times New Roman"/>
        </w:rPr>
        <w:t>I, a do povećanja realiziranih prihoda u odnosu na 202</w:t>
      </w:r>
      <w:r w:rsidR="002B2B2D" w:rsidRPr="00401B41">
        <w:rPr>
          <w:rFonts w:ascii="Times New Roman" w:hAnsi="Times New Roman" w:cs="Times New Roman"/>
        </w:rPr>
        <w:t>4</w:t>
      </w:r>
      <w:r w:rsidR="00055030" w:rsidRPr="00401B41">
        <w:rPr>
          <w:rFonts w:ascii="Times New Roman" w:hAnsi="Times New Roman" w:cs="Times New Roman"/>
        </w:rPr>
        <w:t xml:space="preserve">. godinu došlo je iz istih razloga </w:t>
      </w:r>
      <w:r w:rsidR="002B2B2D" w:rsidRPr="00401B41">
        <w:rPr>
          <w:rFonts w:ascii="Times New Roman" w:hAnsi="Times New Roman" w:cs="Times New Roman"/>
        </w:rPr>
        <w:t>kao i kod prihoda 6391, tj. povećanja bruto satnice.</w:t>
      </w:r>
    </w:p>
    <w:p w14:paraId="6785EF3C" w14:textId="1BA8E247" w:rsidR="00401B41" w:rsidRDefault="00401B41" w:rsidP="00401B41">
      <w:pPr>
        <w:ind w:firstLine="708"/>
        <w:rPr>
          <w:rFonts w:ascii="Times New Roman" w:hAnsi="Times New Roman" w:cs="Times New Roman"/>
        </w:rPr>
      </w:pPr>
    </w:p>
    <w:p w14:paraId="38FD8A98" w14:textId="71BACA06" w:rsidR="00401B41" w:rsidRDefault="00401B41" w:rsidP="00401B41">
      <w:pPr>
        <w:ind w:firstLine="708"/>
        <w:rPr>
          <w:rFonts w:ascii="Times New Roman" w:hAnsi="Times New Roman" w:cs="Times New Roman"/>
        </w:rPr>
      </w:pPr>
    </w:p>
    <w:p w14:paraId="25E53C18" w14:textId="663F3E8E" w:rsidR="00401B41" w:rsidRDefault="00401B41" w:rsidP="00401B41">
      <w:pPr>
        <w:ind w:firstLine="708"/>
        <w:rPr>
          <w:rFonts w:ascii="Times New Roman" w:hAnsi="Times New Roman" w:cs="Times New Roman"/>
        </w:rPr>
      </w:pPr>
    </w:p>
    <w:p w14:paraId="234FC5A0" w14:textId="465D3E27" w:rsidR="00401B41" w:rsidRDefault="00401B41" w:rsidP="00401B41">
      <w:pPr>
        <w:ind w:firstLine="708"/>
        <w:rPr>
          <w:rFonts w:ascii="Times New Roman" w:hAnsi="Times New Roman" w:cs="Times New Roman"/>
        </w:rPr>
      </w:pPr>
    </w:p>
    <w:p w14:paraId="02262C66" w14:textId="0D81EA73" w:rsidR="00401B41" w:rsidRDefault="00401B41" w:rsidP="00401B41">
      <w:pPr>
        <w:ind w:firstLine="708"/>
        <w:rPr>
          <w:rFonts w:ascii="Times New Roman" w:hAnsi="Times New Roman" w:cs="Times New Roman"/>
        </w:rPr>
      </w:pPr>
    </w:p>
    <w:p w14:paraId="4C0BE365" w14:textId="77777777" w:rsidR="00401B41" w:rsidRPr="00401B41" w:rsidRDefault="00401B41" w:rsidP="00401B41">
      <w:pPr>
        <w:ind w:firstLine="708"/>
        <w:rPr>
          <w:rFonts w:ascii="Times New Roman" w:hAnsi="Times New Roman" w:cs="Times New Roman"/>
        </w:rPr>
      </w:pPr>
    </w:p>
    <w:p w14:paraId="01AE770A" w14:textId="1837BD39" w:rsidR="00D27CAD" w:rsidRDefault="004A6201" w:rsidP="00B82C31">
      <w:pPr>
        <w:ind w:firstLine="708"/>
        <w:rPr>
          <w:rFonts w:ascii="Times New Roman" w:hAnsi="Times New Roman" w:cs="Times New Roman"/>
          <w:bCs/>
        </w:rPr>
      </w:pPr>
      <w:r w:rsidRPr="00401B41">
        <w:rPr>
          <w:rFonts w:ascii="Times New Roman" w:hAnsi="Times New Roman" w:cs="Times New Roman"/>
          <w:b/>
          <w:bCs/>
        </w:rPr>
        <w:t xml:space="preserve">Prihodi od upravnih i administrativnih pristojbi, pristojbi po posebnim propisima i naknada 65 </w:t>
      </w:r>
      <w:r w:rsidR="002B2B2D" w:rsidRPr="00401B41">
        <w:rPr>
          <w:rFonts w:ascii="Times New Roman" w:hAnsi="Times New Roman" w:cs="Times New Roman"/>
          <w:bCs/>
        </w:rPr>
        <w:t>nisu ostvareni u izvještajnom razdoblju</w:t>
      </w:r>
      <w:r w:rsidR="00D27CAD" w:rsidRPr="00401B41">
        <w:rPr>
          <w:rFonts w:ascii="Times New Roman" w:hAnsi="Times New Roman" w:cs="Times New Roman"/>
          <w:bCs/>
        </w:rPr>
        <w:t>.</w:t>
      </w:r>
    </w:p>
    <w:p w14:paraId="2B0F72B5" w14:textId="77777777" w:rsidR="00401B41" w:rsidRPr="00401B41" w:rsidRDefault="00401B41" w:rsidP="00B82C31">
      <w:pPr>
        <w:ind w:firstLine="708"/>
        <w:rPr>
          <w:rFonts w:ascii="Times New Roman" w:hAnsi="Times New Roman" w:cs="Times New Roman"/>
        </w:rPr>
      </w:pPr>
    </w:p>
    <w:p w14:paraId="336A1A1F" w14:textId="1C6AC9D9" w:rsidR="004A6201" w:rsidRPr="00401B41" w:rsidRDefault="004A6201" w:rsidP="0002376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b/>
          <w:bCs/>
        </w:rPr>
        <w:t xml:space="preserve">Prihodi od prodaje proizvoda i robe te pruženih usluga, prihodi od donacija 66 </w:t>
      </w:r>
      <w:r w:rsidRPr="00401B41">
        <w:rPr>
          <w:rFonts w:ascii="Times New Roman" w:hAnsi="Times New Roman" w:cs="Times New Roman"/>
        </w:rPr>
        <w:t xml:space="preserve">realizirani su </w:t>
      </w:r>
      <w:r w:rsidR="00D27CAD" w:rsidRPr="00401B41">
        <w:rPr>
          <w:rFonts w:ascii="Times New Roman" w:hAnsi="Times New Roman" w:cs="Times New Roman"/>
        </w:rPr>
        <w:t xml:space="preserve">128 </w:t>
      </w:r>
      <w:r w:rsidR="00D300DE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 xml:space="preserve">% </w:t>
      </w:r>
      <w:r w:rsidR="00796FC4" w:rsidRPr="00401B41">
        <w:rPr>
          <w:rFonts w:ascii="Times New Roman" w:hAnsi="Times New Roman" w:cs="Times New Roman"/>
        </w:rPr>
        <w:t xml:space="preserve">u odnosu na planirane, </w:t>
      </w:r>
      <w:r w:rsidR="00D300DE" w:rsidRPr="00401B41">
        <w:rPr>
          <w:rFonts w:ascii="Times New Roman" w:hAnsi="Times New Roman" w:cs="Times New Roman"/>
        </w:rPr>
        <w:t>te bilježe značajan porast</w:t>
      </w:r>
      <w:r w:rsidR="00796FC4" w:rsidRPr="00401B41">
        <w:rPr>
          <w:rFonts w:ascii="Times New Roman" w:hAnsi="Times New Roman" w:cs="Times New Roman"/>
        </w:rPr>
        <w:t xml:space="preserve"> u </w:t>
      </w:r>
      <w:r w:rsidR="00D300DE" w:rsidRPr="00401B41">
        <w:rPr>
          <w:rFonts w:ascii="Times New Roman" w:hAnsi="Times New Roman" w:cs="Times New Roman"/>
        </w:rPr>
        <w:t xml:space="preserve">odnosu na </w:t>
      </w:r>
      <w:r w:rsidR="00796FC4" w:rsidRPr="00401B41">
        <w:rPr>
          <w:rFonts w:ascii="Times New Roman" w:hAnsi="Times New Roman" w:cs="Times New Roman"/>
        </w:rPr>
        <w:t>202</w:t>
      </w:r>
      <w:r w:rsidR="00D27CAD" w:rsidRPr="00401B41">
        <w:rPr>
          <w:rFonts w:ascii="Times New Roman" w:hAnsi="Times New Roman" w:cs="Times New Roman"/>
        </w:rPr>
        <w:t>4</w:t>
      </w:r>
      <w:r w:rsidR="00796FC4" w:rsidRPr="00401B41">
        <w:rPr>
          <w:rFonts w:ascii="Times New Roman" w:hAnsi="Times New Roman" w:cs="Times New Roman"/>
        </w:rPr>
        <w:t>. godin</w:t>
      </w:r>
      <w:r w:rsidR="00943A0D" w:rsidRPr="00401B41">
        <w:rPr>
          <w:rFonts w:ascii="Times New Roman" w:hAnsi="Times New Roman" w:cs="Times New Roman"/>
        </w:rPr>
        <w:t>u</w:t>
      </w:r>
      <w:r w:rsidRPr="00401B41">
        <w:rPr>
          <w:rFonts w:ascii="Times New Roman" w:hAnsi="Times New Roman" w:cs="Times New Roman"/>
        </w:rPr>
        <w:t>. Realizacija se sastoji od slijedećih prihoda:</w:t>
      </w:r>
    </w:p>
    <w:p w14:paraId="4F4F97FE" w14:textId="7569CBEC" w:rsidR="00D142BD" w:rsidRPr="00401B41" w:rsidRDefault="00D142BD" w:rsidP="0002376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Prihodi od prodaje proizvoda i robe 6614</w:t>
      </w:r>
      <w:r w:rsidR="00EC5D05" w:rsidRPr="00401B41">
        <w:rPr>
          <w:rFonts w:ascii="Times New Roman" w:hAnsi="Times New Roman" w:cs="Times New Roman"/>
          <w:b/>
          <w:bCs/>
        </w:rPr>
        <w:t xml:space="preserve"> </w:t>
      </w:r>
      <w:r w:rsidR="001B1EC4">
        <w:rPr>
          <w:rFonts w:ascii="Times New Roman" w:hAnsi="Times New Roman" w:cs="Times New Roman"/>
        </w:rPr>
        <w:t xml:space="preserve">u razini su ostvarenje u istom izvještajnom razdoblju 2024. godine, a </w:t>
      </w:r>
      <w:r w:rsidRPr="00401B41">
        <w:rPr>
          <w:rFonts w:ascii="Times New Roman" w:hAnsi="Times New Roman" w:cs="Times New Roman"/>
        </w:rPr>
        <w:t xml:space="preserve"> </w:t>
      </w:r>
      <w:r w:rsidR="00B82C31" w:rsidRPr="00401B41">
        <w:rPr>
          <w:rFonts w:ascii="Times New Roman" w:hAnsi="Times New Roman" w:cs="Times New Roman"/>
        </w:rPr>
        <w:t xml:space="preserve">ostvareni </w:t>
      </w:r>
      <w:r w:rsidR="001B1EC4">
        <w:rPr>
          <w:rFonts w:ascii="Times New Roman" w:hAnsi="Times New Roman" w:cs="Times New Roman"/>
        </w:rPr>
        <w:t xml:space="preserve">su </w:t>
      </w:r>
      <w:r w:rsidR="00D300DE" w:rsidRPr="00401B41">
        <w:rPr>
          <w:rFonts w:ascii="Times New Roman" w:hAnsi="Times New Roman" w:cs="Times New Roman"/>
        </w:rPr>
        <w:t>prodaj</w:t>
      </w:r>
      <w:r w:rsidR="00B82C31" w:rsidRPr="00401B41">
        <w:rPr>
          <w:rFonts w:ascii="Times New Roman" w:hAnsi="Times New Roman" w:cs="Times New Roman"/>
        </w:rPr>
        <w:t>om</w:t>
      </w:r>
      <w:r w:rsidR="00D300DE" w:rsidRPr="00401B41">
        <w:rPr>
          <w:rFonts w:ascii="Times New Roman" w:hAnsi="Times New Roman" w:cs="Times New Roman"/>
        </w:rPr>
        <w:t xml:space="preserve"> starog papira</w:t>
      </w:r>
      <w:r w:rsidR="00943A0D" w:rsidRPr="00401B41">
        <w:rPr>
          <w:rFonts w:ascii="Times New Roman" w:hAnsi="Times New Roman" w:cs="Times New Roman"/>
        </w:rPr>
        <w:t>.</w:t>
      </w:r>
    </w:p>
    <w:p w14:paraId="3B86BC0C" w14:textId="7F1F6B36" w:rsidR="00F62908" w:rsidRDefault="00943A0D" w:rsidP="0002376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Prihodi od pruženih usluga</w:t>
      </w:r>
      <w:r w:rsidR="00F62908" w:rsidRPr="00401B41">
        <w:rPr>
          <w:rFonts w:ascii="Times New Roman" w:hAnsi="Times New Roman" w:cs="Times New Roman"/>
          <w:u w:val="single"/>
        </w:rPr>
        <w:t xml:space="preserve"> 66</w:t>
      </w:r>
      <w:r w:rsidRPr="00401B41">
        <w:rPr>
          <w:rFonts w:ascii="Times New Roman" w:hAnsi="Times New Roman" w:cs="Times New Roman"/>
          <w:u w:val="single"/>
        </w:rPr>
        <w:t>15</w:t>
      </w:r>
      <w:r w:rsidR="00F62908" w:rsidRPr="00401B41">
        <w:rPr>
          <w:rFonts w:ascii="Times New Roman" w:hAnsi="Times New Roman" w:cs="Times New Roman"/>
          <w:b/>
          <w:bCs/>
        </w:rPr>
        <w:t xml:space="preserve"> </w:t>
      </w:r>
      <w:r w:rsidR="00806958" w:rsidRPr="00401B41">
        <w:rPr>
          <w:rFonts w:ascii="Times New Roman" w:hAnsi="Times New Roman" w:cs="Times New Roman"/>
        </w:rPr>
        <w:t>odnos</w:t>
      </w:r>
      <w:r w:rsidRPr="00401B41">
        <w:rPr>
          <w:rFonts w:ascii="Times New Roman" w:hAnsi="Times New Roman" w:cs="Times New Roman"/>
        </w:rPr>
        <w:t>i se na prihod ostvaren od iznajmljivanja školskih učionica vanjskim suradnicima</w:t>
      </w:r>
      <w:r w:rsidR="009F71E6" w:rsidRPr="00401B41">
        <w:rPr>
          <w:rFonts w:ascii="Times New Roman" w:hAnsi="Times New Roman" w:cs="Times New Roman"/>
        </w:rPr>
        <w:t>, koji je u odnosu na isto razdoblje 2024. godine porastao za 748 % jer je veliki interes za iznajmljivanjem prostorija škole.</w:t>
      </w:r>
    </w:p>
    <w:p w14:paraId="7360E86E" w14:textId="77777777" w:rsidR="00401B41" w:rsidRPr="00401B41" w:rsidRDefault="00401B41" w:rsidP="00023761">
      <w:pPr>
        <w:ind w:firstLine="708"/>
        <w:rPr>
          <w:rFonts w:ascii="Times New Roman" w:hAnsi="Times New Roman" w:cs="Times New Roman"/>
        </w:rPr>
      </w:pPr>
    </w:p>
    <w:p w14:paraId="46627476" w14:textId="4DA5CCF7" w:rsidR="00F73EC4" w:rsidRPr="00401B41" w:rsidRDefault="00F73EC4" w:rsidP="0002376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b/>
          <w:bCs/>
        </w:rPr>
        <w:t xml:space="preserve">Prihodi iz nadležnog proračuna 67 </w:t>
      </w:r>
      <w:r w:rsidRPr="00401B41">
        <w:rPr>
          <w:rFonts w:ascii="Times New Roman" w:hAnsi="Times New Roman" w:cs="Times New Roman"/>
        </w:rPr>
        <w:t xml:space="preserve">realizirani su </w:t>
      </w:r>
      <w:r w:rsidR="00D27CAD" w:rsidRPr="00401B41">
        <w:rPr>
          <w:rFonts w:ascii="Times New Roman" w:hAnsi="Times New Roman" w:cs="Times New Roman"/>
        </w:rPr>
        <w:t>56</w:t>
      </w:r>
      <w:r w:rsidR="00943A0D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% u 202</w:t>
      </w:r>
      <w:r w:rsidR="00D27CAD" w:rsidRPr="00401B41">
        <w:rPr>
          <w:rFonts w:ascii="Times New Roman" w:hAnsi="Times New Roman" w:cs="Times New Roman"/>
        </w:rPr>
        <w:t>5</w:t>
      </w:r>
      <w:r w:rsidRPr="00401B41">
        <w:rPr>
          <w:rFonts w:ascii="Times New Roman" w:hAnsi="Times New Roman" w:cs="Times New Roman"/>
        </w:rPr>
        <w:t xml:space="preserve">. godini, a realizacija </w:t>
      </w:r>
      <w:r w:rsidR="00796FC4" w:rsidRPr="00401B41">
        <w:rPr>
          <w:rFonts w:ascii="Times New Roman" w:hAnsi="Times New Roman" w:cs="Times New Roman"/>
        </w:rPr>
        <w:t>je veća</w:t>
      </w:r>
      <w:r w:rsidRPr="00401B41">
        <w:rPr>
          <w:rFonts w:ascii="Times New Roman" w:hAnsi="Times New Roman" w:cs="Times New Roman"/>
        </w:rPr>
        <w:t xml:space="preserve"> za </w:t>
      </w:r>
      <w:r w:rsidR="00D27CAD" w:rsidRPr="00401B41">
        <w:rPr>
          <w:rFonts w:ascii="Times New Roman" w:hAnsi="Times New Roman" w:cs="Times New Roman"/>
        </w:rPr>
        <w:t>18</w:t>
      </w:r>
      <w:r w:rsidR="00943A0D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% od realizacije u 202</w:t>
      </w:r>
      <w:r w:rsidR="00D27CAD" w:rsidRPr="00401B41">
        <w:rPr>
          <w:rFonts w:ascii="Times New Roman" w:hAnsi="Times New Roman" w:cs="Times New Roman"/>
        </w:rPr>
        <w:t>4</w:t>
      </w:r>
      <w:r w:rsidRPr="00401B41">
        <w:rPr>
          <w:rFonts w:ascii="Times New Roman" w:hAnsi="Times New Roman" w:cs="Times New Roman"/>
        </w:rPr>
        <w:t>. godini.</w:t>
      </w:r>
    </w:p>
    <w:p w14:paraId="7949D72B" w14:textId="653FF661" w:rsidR="006B1D68" w:rsidRPr="00401B41" w:rsidRDefault="006B1D68" w:rsidP="0002376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Prihodi iz nadležnog proračuna za financiranje rashoda poslovanja 6711</w:t>
      </w:r>
      <w:r w:rsidRPr="00401B41">
        <w:rPr>
          <w:rFonts w:ascii="Times New Roman" w:hAnsi="Times New Roman" w:cs="Times New Roman"/>
        </w:rPr>
        <w:t xml:space="preserve"> bilježe</w:t>
      </w:r>
      <w:r w:rsidR="004A6201" w:rsidRPr="00401B41">
        <w:rPr>
          <w:rFonts w:ascii="Times New Roman" w:hAnsi="Times New Roman" w:cs="Times New Roman"/>
        </w:rPr>
        <w:t xml:space="preserve"> porast</w:t>
      </w:r>
      <w:r w:rsidRPr="00401B41">
        <w:rPr>
          <w:rFonts w:ascii="Times New Roman" w:hAnsi="Times New Roman" w:cs="Times New Roman"/>
        </w:rPr>
        <w:t xml:space="preserve"> za </w:t>
      </w:r>
      <w:r w:rsidR="00D27CAD" w:rsidRPr="00401B41">
        <w:rPr>
          <w:rFonts w:ascii="Times New Roman" w:hAnsi="Times New Roman" w:cs="Times New Roman"/>
        </w:rPr>
        <w:t xml:space="preserve">18 </w:t>
      </w:r>
      <w:r w:rsidRPr="00401B41">
        <w:rPr>
          <w:rFonts w:ascii="Times New Roman" w:hAnsi="Times New Roman" w:cs="Times New Roman"/>
        </w:rPr>
        <w:t xml:space="preserve">% </w:t>
      </w:r>
      <w:r w:rsidR="00F42B44" w:rsidRPr="00401B41">
        <w:rPr>
          <w:rFonts w:ascii="Times New Roman" w:hAnsi="Times New Roman" w:cs="Times New Roman"/>
        </w:rPr>
        <w:t>u odnosu na 202</w:t>
      </w:r>
      <w:r w:rsidR="00D27CAD" w:rsidRPr="00401B41">
        <w:rPr>
          <w:rFonts w:ascii="Times New Roman" w:hAnsi="Times New Roman" w:cs="Times New Roman"/>
        </w:rPr>
        <w:t>4</w:t>
      </w:r>
      <w:r w:rsidR="00F42B44" w:rsidRPr="00401B41">
        <w:rPr>
          <w:rFonts w:ascii="Times New Roman" w:hAnsi="Times New Roman" w:cs="Times New Roman"/>
        </w:rPr>
        <w:t>.</w:t>
      </w:r>
      <w:r w:rsidR="00BD14AE" w:rsidRPr="00401B41">
        <w:rPr>
          <w:rFonts w:ascii="Times New Roman" w:hAnsi="Times New Roman" w:cs="Times New Roman"/>
        </w:rPr>
        <w:t xml:space="preserve"> </w:t>
      </w:r>
      <w:r w:rsidR="00F42B44" w:rsidRPr="00401B41">
        <w:rPr>
          <w:rFonts w:ascii="Times New Roman" w:hAnsi="Times New Roman" w:cs="Times New Roman"/>
        </w:rPr>
        <w:t xml:space="preserve">Ovim </w:t>
      </w:r>
      <w:r w:rsidR="005F611D" w:rsidRPr="00401B41">
        <w:rPr>
          <w:rFonts w:ascii="Times New Roman" w:hAnsi="Times New Roman" w:cs="Times New Roman"/>
        </w:rPr>
        <w:t>prihodima</w:t>
      </w:r>
      <w:r w:rsidR="00261075" w:rsidRPr="00401B41">
        <w:rPr>
          <w:rFonts w:ascii="Times New Roman" w:hAnsi="Times New Roman" w:cs="Times New Roman"/>
        </w:rPr>
        <w:t xml:space="preserve"> </w:t>
      </w:r>
      <w:r w:rsidR="005F611D" w:rsidRPr="00401B41">
        <w:rPr>
          <w:rFonts w:ascii="Times New Roman" w:hAnsi="Times New Roman" w:cs="Times New Roman"/>
        </w:rPr>
        <w:t>financirani su</w:t>
      </w:r>
      <w:r w:rsidR="00261075" w:rsidRPr="00401B41">
        <w:rPr>
          <w:rFonts w:ascii="Times New Roman" w:hAnsi="Times New Roman" w:cs="Times New Roman"/>
        </w:rPr>
        <w:t xml:space="preserve"> redovni rashod</w:t>
      </w:r>
      <w:r w:rsidR="005F611D" w:rsidRPr="00401B41">
        <w:rPr>
          <w:rFonts w:ascii="Times New Roman" w:hAnsi="Times New Roman" w:cs="Times New Roman"/>
        </w:rPr>
        <w:t>i</w:t>
      </w:r>
      <w:r w:rsidR="00261075" w:rsidRPr="00401B41">
        <w:rPr>
          <w:rFonts w:ascii="Times New Roman" w:hAnsi="Times New Roman" w:cs="Times New Roman"/>
        </w:rPr>
        <w:t xml:space="preserve"> poslovanja (službena putovanja, režijski troškovi, uredski, higijenski i materijal za čišćenje, sitni inventar, službena odjeća, usluge i sl.).</w:t>
      </w:r>
    </w:p>
    <w:p w14:paraId="1DFCB173" w14:textId="77777777" w:rsidR="00FB1C42" w:rsidRPr="00401B41" w:rsidRDefault="00FB1C42">
      <w:pPr>
        <w:rPr>
          <w:rFonts w:ascii="Times New Roman" w:hAnsi="Times New Roman" w:cs="Times New Roman"/>
        </w:rPr>
      </w:pPr>
    </w:p>
    <w:p w14:paraId="53AC7666" w14:textId="77777777" w:rsidR="00403170" w:rsidRPr="00401B41" w:rsidRDefault="00403170">
      <w:pPr>
        <w:rPr>
          <w:rFonts w:ascii="Times New Roman" w:hAnsi="Times New Roman" w:cs="Times New Roman"/>
        </w:rPr>
      </w:pPr>
    </w:p>
    <w:p w14:paraId="5952DA39" w14:textId="77777777" w:rsidR="00FB1C42" w:rsidRPr="00401B41" w:rsidRDefault="00FB1C42" w:rsidP="00023761">
      <w:pPr>
        <w:ind w:firstLine="708"/>
        <w:rPr>
          <w:rFonts w:ascii="Times New Roman" w:hAnsi="Times New Roman" w:cs="Times New Roman"/>
          <w:b/>
          <w:bCs/>
        </w:rPr>
      </w:pPr>
    </w:p>
    <w:p w14:paraId="3AC41ABA" w14:textId="47F9E855" w:rsidR="00F62908" w:rsidRPr="00401B41" w:rsidRDefault="00023761" w:rsidP="00023761">
      <w:pPr>
        <w:ind w:firstLine="708"/>
        <w:rPr>
          <w:rFonts w:ascii="Times New Roman" w:hAnsi="Times New Roman" w:cs="Times New Roman"/>
          <w:b/>
          <w:bCs/>
        </w:rPr>
      </w:pPr>
      <w:r w:rsidRPr="00401B41">
        <w:rPr>
          <w:rFonts w:ascii="Times New Roman" w:hAnsi="Times New Roman" w:cs="Times New Roman"/>
          <w:b/>
          <w:bCs/>
        </w:rPr>
        <w:t>2.1.2 Rashodi</w:t>
      </w:r>
    </w:p>
    <w:p w14:paraId="36B7D1FF" w14:textId="2F88EEBA" w:rsidR="009C6660" w:rsidRPr="00401B41" w:rsidRDefault="009C6660" w:rsidP="00023761">
      <w:pPr>
        <w:ind w:firstLine="708"/>
        <w:rPr>
          <w:rFonts w:ascii="Times New Roman" w:hAnsi="Times New Roman" w:cs="Times New Roman"/>
          <w:b/>
          <w:bCs/>
        </w:rPr>
      </w:pPr>
      <w:r w:rsidRPr="00401B41">
        <w:rPr>
          <w:rFonts w:ascii="Times New Roman" w:hAnsi="Times New Roman" w:cs="Times New Roman"/>
          <w:b/>
          <w:bCs/>
        </w:rPr>
        <w:t>Rashodi za zaposlene 31</w:t>
      </w:r>
    </w:p>
    <w:p w14:paraId="6F12BAF3" w14:textId="4ABB7F01" w:rsidR="001B1957" w:rsidRPr="00401B41" w:rsidRDefault="00D27CAD" w:rsidP="001B1957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U odnosu na planirano</w:t>
      </w:r>
      <w:r w:rsidR="006E6F33" w:rsidRPr="00401B41">
        <w:rPr>
          <w:rFonts w:ascii="Times New Roman" w:hAnsi="Times New Roman" w:cs="Times New Roman"/>
        </w:rPr>
        <w:t xml:space="preserve">, realizirano je </w:t>
      </w:r>
      <w:r w:rsidRPr="00401B41">
        <w:rPr>
          <w:rFonts w:ascii="Times New Roman" w:hAnsi="Times New Roman" w:cs="Times New Roman"/>
        </w:rPr>
        <w:t>5</w:t>
      </w:r>
      <w:r w:rsidR="009F71E6" w:rsidRPr="00401B41">
        <w:rPr>
          <w:rFonts w:ascii="Times New Roman" w:hAnsi="Times New Roman" w:cs="Times New Roman"/>
        </w:rPr>
        <w:t xml:space="preserve">7 </w:t>
      </w:r>
      <w:r w:rsidR="006E6F33" w:rsidRPr="00401B41">
        <w:rPr>
          <w:rFonts w:ascii="Times New Roman" w:hAnsi="Times New Roman" w:cs="Times New Roman"/>
        </w:rPr>
        <w:t xml:space="preserve">% rashoda što daje iznos za </w:t>
      </w:r>
      <w:r w:rsidR="009F71E6" w:rsidRPr="00401B41">
        <w:rPr>
          <w:rFonts w:ascii="Times New Roman" w:hAnsi="Times New Roman" w:cs="Times New Roman"/>
        </w:rPr>
        <w:t>33</w:t>
      </w:r>
      <w:r w:rsidRPr="00401B41">
        <w:rPr>
          <w:rFonts w:ascii="Times New Roman" w:hAnsi="Times New Roman" w:cs="Times New Roman"/>
        </w:rPr>
        <w:t xml:space="preserve"> </w:t>
      </w:r>
      <w:r w:rsidR="006E6F33" w:rsidRPr="00401B41">
        <w:rPr>
          <w:rFonts w:ascii="Times New Roman" w:hAnsi="Times New Roman" w:cs="Times New Roman"/>
        </w:rPr>
        <w:t>%</w:t>
      </w:r>
      <w:r w:rsidR="000130D4" w:rsidRPr="00401B41">
        <w:rPr>
          <w:rFonts w:ascii="Times New Roman" w:hAnsi="Times New Roman" w:cs="Times New Roman"/>
        </w:rPr>
        <w:t xml:space="preserve"> </w:t>
      </w:r>
      <w:r w:rsidR="005E0A2B" w:rsidRPr="00401B41">
        <w:rPr>
          <w:rFonts w:ascii="Times New Roman" w:hAnsi="Times New Roman" w:cs="Times New Roman"/>
        </w:rPr>
        <w:t>veći</w:t>
      </w:r>
      <w:r w:rsidR="006E6F33" w:rsidRPr="00401B41">
        <w:rPr>
          <w:rFonts w:ascii="Times New Roman" w:hAnsi="Times New Roman" w:cs="Times New Roman"/>
        </w:rPr>
        <w:t xml:space="preserve"> u odnosu na realizirane rashode za zaposlene u  20</w:t>
      </w:r>
      <w:r w:rsidR="00A76002" w:rsidRPr="00401B41">
        <w:rPr>
          <w:rFonts w:ascii="Times New Roman" w:hAnsi="Times New Roman" w:cs="Times New Roman"/>
        </w:rPr>
        <w:t>2</w:t>
      </w:r>
      <w:r w:rsidRPr="00401B41">
        <w:rPr>
          <w:rFonts w:ascii="Times New Roman" w:hAnsi="Times New Roman" w:cs="Times New Roman"/>
        </w:rPr>
        <w:t>4</w:t>
      </w:r>
      <w:r w:rsidR="006E6F33" w:rsidRPr="00401B41">
        <w:rPr>
          <w:rFonts w:ascii="Times New Roman" w:hAnsi="Times New Roman" w:cs="Times New Roman"/>
        </w:rPr>
        <w:t xml:space="preserve">. godini. </w:t>
      </w:r>
      <w:r w:rsidR="000130D4" w:rsidRPr="00401B41">
        <w:rPr>
          <w:rFonts w:ascii="Times New Roman" w:hAnsi="Times New Roman" w:cs="Times New Roman"/>
        </w:rPr>
        <w:t xml:space="preserve">Realizacija je </w:t>
      </w:r>
      <w:r w:rsidR="005E0A2B" w:rsidRPr="00401B41">
        <w:rPr>
          <w:rFonts w:ascii="Times New Roman" w:hAnsi="Times New Roman" w:cs="Times New Roman"/>
        </w:rPr>
        <w:t>veća</w:t>
      </w:r>
      <w:r w:rsidR="000130D4" w:rsidRPr="00401B41">
        <w:rPr>
          <w:rFonts w:ascii="Times New Roman" w:hAnsi="Times New Roman" w:cs="Times New Roman"/>
        </w:rPr>
        <w:t xml:space="preserve"> u odnosu na 202</w:t>
      </w:r>
      <w:r w:rsidRPr="00401B41">
        <w:rPr>
          <w:rFonts w:ascii="Times New Roman" w:hAnsi="Times New Roman" w:cs="Times New Roman"/>
        </w:rPr>
        <w:t>4</w:t>
      </w:r>
      <w:r w:rsidR="000130D4" w:rsidRPr="00401B41">
        <w:rPr>
          <w:rFonts w:ascii="Times New Roman" w:hAnsi="Times New Roman" w:cs="Times New Roman"/>
        </w:rPr>
        <w:t xml:space="preserve">. godinu zbog </w:t>
      </w:r>
      <w:r w:rsidR="005E0A2B" w:rsidRPr="00401B41">
        <w:rPr>
          <w:rFonts w:ascii="Times New Roman" w:hAnsi="Times New Roman" w:cs="Times New Roman"/>
        </w:rPr>
        <w:t xml:space="preserve">nove Uredbe o koeficijentima </w:t>
      </w:r>
      <w:r w:rsidR="001B1957" w:rsidRPr="00401B41">
        <w:rPr>
          <w:rFonts w:ascii="Times New Roman" w:hAnsi="Times New Roman" w:cs="Times New Roman"/>
        </w:rPr>
        <w:t xml:space="preserve">za obračun plaće u javnim službama kojom su povećani koeficijenti svim zaposlenicima, </w:t>
      </w:r>
      <w:r w:rsidR="00EE6602">
        <w:rPr>
          <w:rFonts w:ascii="Times New Roman" w:hAnsi="Times New Roman" w:cs="Times New Roman"/>
        </w:rPr>
        <w:t xml:space="preserve">i rast osnovice za obračun plaća u 2025. godini, </w:t>
      </w:r>
      <w:r w:rsidR="001B1957" w:rsidRPr="00401B41">
        <w:rPr>
          <w:rFonts w:ascii="Times New Roman" w:hAnsi="Times New Roman" w:cs="Times New Roman"/>
        </w:rPr>
        <w:t xml:space="preserve">a time i rashodi za plaće. Osim </w:t>
      </w:r>
      <w:r w:rsidR="00EE6602">
        <w:rPr>
          <w:rFonts w:ascii="Times New Roman" w:hAnsi="Times New Roman" w:cs="Times New Roman"/>
        </w:rPr>
        <w:t>navedenog</w:t>
      </w:r>
      <w:r w:rsidR="001B1957" w:rsidRPr="00401B41">
        <w:rPr>
          <w:rFonts w:ascii="Times New Roman" w:hAnsi="Times New Roman" w:cs="Times New Roman"/>
        </w:rPr>
        <w:t>, na povećanje rashoda za plaće utjecalo je i povećanje bruto satnice pomoćnika u nastavi.</w:t>
      </w:r>
    </w:p>
    <w:p w14:paraId="21EC3C91" w14:textId="7780028B" w:rsidR="00B251FD" w:rsidRPr="00401B41" w:rsidRDefault="006E6F33" w:rsidP="00FB1C42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b/>
          <w:bCs/>
        </w:rPr>
        <w:t xml:space="preserve">Materijalni rashodi </w:t>
      </w:r>
      <w:r w:rsidR="002C4756" w:rsidRPr="00401B41">
        <w:rPr>
          <w:rFonts w:ascii="Times New Roman" w:hAnsi="Times New Roman" w:cs="Times New Roman"/>
          <w:b/>
          <w:bCs/>
        </w:rPr>
        <w:t xml:space="preserve">32 </w:t>
      </w:r>
      <w:r w:rsidR="002C4756" w:rsidRPr="00401B41">
        <w:rPr>
          <w:rFonts w:ascii="Times New Roman" w:hAnsi="Times New Roman" w:cs="Times New Roman"/>
        </w:rPr>
        <w:t xml:space="preserve">realizirani su </w:t>
      </w:r>
      <w:r w:rsidR="00D27CAD" w:rsidRPr="00401B41">
        <w:rPr>
          <w:rFonts w:ascii="Times New Roman" w:hAnsi="Times New Roman" w:cs="Times New Roman"/>
        </w:rPr>
        <w:t>6</w:t>
      </w:r>
      <w:r w:rsidR="009F71E6" w:rsidRPr="00401B41">
        <w:rPr>
          <w:rFonts w:ascii="Times New Roman" w:hAnsi="Times New Roman" w:cs="Times New Roman"/>
        </w:rPr>
        <w:t>1</w:t>
      </w:r>
      <w:r w:rsidR="00E555AC" w:rsidRPr="00401B41">
        <w:rPr>
          <w:rFonts w:ascii="Times New Roman" w:hAnsi="Times New Roman" w:cs="Times New Roman"/>
        </w:rPr>
        <w:t xml:space="preserve"> </w:t>
      </w:r>
      <w:r w:rsidR="002C4756" w:rsidRPr="00401B41">
        <w:rPr>
          <w:rFonts w:ascii="Times New Roman" w:hAnsi="Times New Roman" w:cs="Times New Roman"/>
        </w:rPr>
        <w:t>% u 202</w:t>
      </w:r>
      <w:r w:rsidR="00D27CAD" w:rsidRPr="00401B41">
        <w:rPr>
          <w:rFonts w:ascii="Times New Roman" w:hAnsi="Times New Roman" w:cs="Times New Roman"/>
        </w:rPr>
        <w:t>5</w:t>
      </w:r>
      <w:r w:rsidR="002C4756" w:rsidRPr="00401B41">
        <w:rPr>
          <w:rFonts w:ascii="Times New Roman" w:hAnsi="Times New Roman" w:cs="Times New Roman"/>
        </w:rPr>
        <w:t xml:space="preserve">. godini, a realizacija je </w:t>
      </w:r>
      <w:r w:rsidR="00D27CAD" w:rsidRPr="00401B41">
        <w:rPr>
          <w:rFonts w:ascii="Times New Roman" w:hAnsi="Times New Roman" w:cs="Times New Roman"/>
        </w:rPr>
        <w:t>1</w:t>
      </w:r>
      <w:r w:rsidR="009F71E6" w:rsidRPr="00401B41">
        <w:rPr>
          <w:rFonts w:ascii="Times New Roman" w:hAnsi="Times New Roman" w:cs="Times New Roman"/>
        </w:rPr>
        <w:t>6</w:t>
      </w:r>
      <w:r w:rsidR="00E555AC" w:rsidRPr="00401B41">
        <w:rPr>
          <w:rFonts w:ascii="Times New Roman" w:hAnsi="Times New Roman" w:cs="Times New Roman"/>
        </w:rPr>
        <w:t xml:space="preserve"> </w:t>
      </w:r>
      <w:r w:rsidR="002C4756" w:rsidRPr="00401B41">
        <w:rPr>
          <w:rFonts w:ascii="Times New Roman" w:hAnsi="Times New Roman" w:cs="Times New Roman"/>
        </w:rPr>
        <w:t xml:space="preserve">% </w:t>
      </w:r>
      <w:r w:rsidR="00C47C0B" w:rsidRPr="00401B41">
        <w:rPr>
          <w:rFonts w:ascii="Times New Roman" w:hAnsi="Times New Roman" w:cs="Times New Roman"/>
        </w:rPr>
        <w:t>veća</w:t>
      </w:r>
      <w:r w:rsidR="002C4756" w:rsidRPr="00401B41">
        <w:rPr>
          <w:rFonts w:ascii="Times New Roman" w:hAnsi="Times New Roman" w:cs="Times New Roman"/>
        </w:rPr>
        <w:t xml:space="preserve"> nego u 202</w:t>
      </w:r>
      <w:r w:rsidR="00D27CAD" w:rsidRPr="00401B41">
        <w:rPr>
          <w:rFonts w:ascii="Times New Roman" w:hAnsi="Times New Roman" w:cs="Times New Roman"/>
        </w:rPr>
        <w:t>4</w:t>
      </w:r>
      <w:r w:rsidR="002C4756" w:rsidRPr="00401B41">
        <w:rPr>
          <w:rFonts w:ascii="Times New Roman" w:hAnsi="Times New Roman" w:cs="Times New Roman"/>
        </w:rPr>
        <w:t>. godini.</w:t>
      </w:r>
    </w:p>
    <w:p w14:paraId="326D5F3E" w14:textId="076289AC" w:rsidR="006D728B" w:rsidRDefault="00396FB8" w:rsidP="00D27CAD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Naknade troškova zaposlenima 32</w:t>
      </w:r>
      <w:r w:rsidR="007A5AF5" w:rsidRPr="00401B41">
        <w:rPr>
          <w:rFonts w:ascii="Times New Roman" w:hAnsi="Times New Roman" w:cs="Times New Roman"/>
          <w:u w:val="single"/>
        </w:rPr>
        <w:t>1</w:t>
      </w:r>
      <w:r w:rsidRPr="00401B41">
        <w:rPr>
          <w:rFonts w:ascii="Times New Roman" w:hAnsi="Times New Roman" w:cs="Times New Roman"/>
          <w:u w:val="single"/>
        </w:rPr>
        <w:t xml:space="preserve">1 </w:t>
      </w:r>
      <w:r w:rsidR="007A5AF5" w:rsidRPr="00401B41">
        <w:rPr>
          <w:rFonts w:ascii="Times New Roman" w:hAnsi="Times New Roman" w:cs="Times New Roman"/>
        </w:rPr>
        <w:t>–</w:t>
      </w:r>
      <w:r w:rsidRPr="00401B41">
        <w:rPr>
          <w:rFonts w:ascii="Times New Roman" w:hAnsi="Times New Roman" w:cs="Times New Roman"/>
        </w:rPr>
        <w:t xml:space="preserve"> </w:t>
      </w:r>
      <w:r w:rsidR="007A5AF5" w:rsidRPr="00401B41">
        <w:rPr>
          <w:rFonts w:ascii="Times New Roman" w:hAnsi="Times New Roman" w:cs="Times New Roman"/>
        </w:rPr>
        <w:t xml:space="preserve">Službena putovanja bilježe porast za </w:t>
      </w:r>
      <w:r w:rsidR="009F71E6" w:rsidRPr="00401B41">
        <w:rPr>
          <w:rFonts w:ascii="Times New Roman" w:hAnsi="Times New Roman" w:cs="Times New Roman"/>
        </w:rPr>
        <w:t xml:space="preserve">41 </w:t>
      </w:r>
      <w:r w:rsidR="007A5AF5" w:rsidRPr="00401B41">
        <w:rPr>
          <w:rFonts w:ascii="Times New Roman" w:hAnsi="Times New Roman" w:cs="Times New Roman"/>
        </w:rPr>
        <w:t>% u odnosu na 202</w:t>
      </w:r>
      <w:r w:rsidR="009F71E6" w:rsidRPr="00401B41">
        <w:rPr>
          <w:rFonts w:ascii="Times New Roman" w:hAnsi="Times New Roman" w:cs="Times New Roman"/>
        </w:rPr>
        <w:t>4</w:t>
      </w:r>
      <w:r w:rsidR="007A5AF5" w:rsidRPr="00401B41">
        <w:rPr>
          <w:rFonts w:ascii="Times New Roman" w:hAnsi="Times New Roman" w:cs="Times New Roman"/>
        </w:rPr>
        <w:t xml:space="preserve">. godinu zbog </w:t>
      </w:r>
      <w:r w:rsidR="009F71E6" w:rsidRPr="00401B41">
        <w:rPr>
          <w:rFonts w:ascii="Times New Roman" w:hAnsi="Times New Roman" w:cs="Times New Roman"/>
        </w:rPr>
        <w:t>sudjelovanja učitelja na terenskim nastavama u sklopu B1 aktivnosti.</w:t>
      </w:r>
    </w:p>
    <w:p w14:paraId="6A483AC3" w14:textId="77777777" w:rsidR="00401B41" w:rsidRPr="00401B41" w:rsidRDefault="00401B41" w:rsidP="00D27CAD">
      <w:pPr>
        <w:ind w:firstLine="708"/>
        <w:rPr>
          <w:rFonts w:ascii="Times New Roman" w:hAnsi="Times New Roman" w:cs="Times New Roman"/>
        </w:rPr>
      </w:pPr>
    </w:p>
    <w:p w14:paraId="77D5D45D" w14:textId="70033C47" w:rsidR="003B6982" w:rsidRDefault="00D32922" w:rsidP="00411EE6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Naknade za prijevoz, za rad na terenu i odvojeni život 3212</w:t>
      </w:r>
      <w:r w:rsidR="003B6982" w:rsidRPr="00401B41">
        <w:rPr>
          <w:rFonts w:ascii="Times New Roman" w:hAnsi="Times New Roman" w:cs="Times New Roman"/>
          <w:u w:val="single"/>
        </w:rPr>
        <w:t xml:space="preserve"> </w:t>
      </w:r>
      <w:r w:rsidRPr="00401B41">
        <w:rPr>
          <w:rFonts w:ascii="Times New Roman" w:hAnsi="Times New Roman" w:cs="Times New Roman"/>
        </w:rPr>
        <w:t>–</w:t>
      </w:r>
      <w:r w:rsidR="003B6982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 xml:space="preserve">bilježe porast za </w:t>
      </w:r>
      <w:r w:rsidR="009F71E6" w:rsidRPr="00401B41">
        <w:rPr>
          <w:rFonts w:ascii="Times New Roman" w:hAnsi="Times New Roman" w:cs="Times New Roman"/>
        </w:rPr>
        <w:t>23</w:t>
      </w:r>
      <w:r w:rsidR="00E555AC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% u odnosu na 202</w:t>
      </w:r>
      <w:r w:rsidR="009F71E6" w:rsidRPr="00401B41">
        <w:rPr>
          <w:rFonts w:ascii="Times New Roman" w:hAnsi="Times New Roman" w:cs="Times New Roman"/>
        </w:rPr>
        <w:t>4</w:t>
      </w:r>
      <w:r w:rsidRPr="00401B41">
        <w:rPr>
          <w:rFonts w:ascii="Times New Roman" w:hAnsi="Times New Roman" w:cs="Times New Roman"/>
        </w:rPr>
        <w:t xml:space="preserve">. godinu zbog </w:t>
      </w:r>
      <w:r w:rsidR="009F71E6" w:rsidRPr="00401B41">
        <w:rPr>
          <w:rFonts w:ascii="Times New Roman" w:hAnsi="Times New Roman" w:cs="Times New Roman"/>
        </w:rPr>
        <w:t>novih zapošljavanja djelatnika koji ostvaruju pravo na naknadu prijevoza.</w:t>
      </w:r>
    </w:p>
    <w:p w14:paraId="472C7025" w14:textId="77777777" w:rsidR="00401B41" w:rsidRPr="00401B41" w:rsidRDefault="00401B41" w:rsidP="00411EE6">
      <w:pPr>
        <w:ind w:firstLine="708"/>
        <w:rPr>
          <w:rFonts w:ascii="Times New Roman" w:hAnsi="Times New Roman" w:cs="Times New Roman"/>
        </w:rPr>
      </w:pPr>
    </w:p>
    <w:p w14:paraId="1CBBA1CC" w14:textId="0ED71B21" w:rsidR="00D504FC" w:rsidRDefault="00D32922" w:rsidP="00411EE6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Stručno usavršavanje zaposlenika 3213</w:t>
      </w:r>
      <w:r w:rsidR="003B6982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–</w:t>
      </w:r>
      <w:r w:rsidR="003B6982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 xml:space="preserve">rashodi su za </w:t>
      </w:r>
      <w:r w:rsidR="00B82C31" w:rsidRPr="00401B41">
        <w:rPr>
          <w:rFonts w:ascii="Times New Roman" w:hAnsi="Times New Roman" w:cs="Times New Roman"/>
        </w:rPr>
        <w:t>manji u odnosu na 2024.</w:t>
      </w:r>
      <w:r w:rsidRPr="00401B41">
        <w:rPr>
          <w:rFonts w:ascii="Times New Roman" w:hAnsi="Times New Roman" w:cs="Times New Roman"/>
        </w:rPr>
        <w:t xml:space="preserve"> godin</w:t>
      </w:r>
      <w:r w:rsidR="00B82C31" w:rsidRPr="00401B41">
        <w:rPr>
          <w:rFonts w:ascii="Times New Roman" w:hAnsi="Times New Roman" w:cs="Times New Roman"/>
        </w:rPr>
        <w:t>u</w:t>
      </w:r>
      <w:r w:rsidRPr="00401B41">
        <w:rPr>
          <w:rFonts w:ascii="Times New Roman" w:hAnsi="Times New Roman" w:cs="Times New Roman"/>
        </w:rPr>
        <w:t xml:space="preserve">. </w:t>
      </w:r>
      <w:r w:rsidR="00430877" w:rsidRPr="00401B41">
        <w:rPr>
          <w:rFonts w:ascii="Times New Roman" w:hAnsi="Times New Roman" w:cs="Times New Roman"/>
        </w:rPr>
        <w:t xml:space="preserve">Stručna usavršavanja </w:t>
      </w:r>
      <w:r w:rsidR="00B82C31" w:rsidRPr="00401B41">
        <w:rPr>
          <w:rFonts w:ascii="Times New Roman" w:hAnsi="Times New Roman" w:cs="Times New Roman"/>
        </w:rPr>
        <w:t>provodila su se u 2025. godini ali za većinu nije trebalo plaćati kotizaciju već samo trošak putovanja i dnevnica djelatnika.</w:t>
      </w:r>
    </w:p>
    <w:p w14:paraId="6D3872BD" w14:textId="67C1C0DD" w:rsidR="00401B41" w:rsidRDefault="00401B41" w:rsidP="00411EE6">
      <w:pPr>
        <w:ind w:firstLine="708"/>
        <w:rPr>
          <w:rFonts w:ascii="Times New Roman" w:hAnsi="Times New Roman" w:cs="Times New Roman"/>
        </w:rPr>
      </w:pPr>
    </w:p>
    <w:p w14:paraId="0F10D6B3" w14:textId="14094089" w:rsidR="00401B41" w:rsidRDefault="00401B41" w:rsidP="00411EE6">
      <w:pPr>
        <w:ind w:firstLine="708"/>
        <w:rPr>
          <w:rFonts w:ascii="Times New Roman" w:hAnsi="Times New Roman" w:cs="Times New Roman"/>
        </w:rPr>
      </w:pPr>
    </w:p>
    <w:p w14:paraId="41FD8164" w14:textId="77777777" w:rsidR="00401B41" w:rsidRPr="00401B41" w:rsidRDefault="00401B41" w:rsidP="00411EE6">
      <w:pPr>
        <w:ind w:firstLine="708"/>
        <w:rPr>
          <w:rFonts w:ascii="Times New Roman" w:hAnsi="Times New Roman" w:cs="Times New Roman"/>
        </w:rPr>
      </w:pPr>
    </w:p>
    <w:p w14:paraId="6716EE0D" w14:textId="2996ADE1" w:rsidR="00C40C7F" w:rsidRDefault="00607267" w:rsidP="00C40C7F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Ostale naknade troškova zaposlenima 3214</w:t>
      </w:r>
      <w:r w:rsidR="003B6982" w:rsidRPr="00401B41">
        <w:rPr>
          <w:rFonts w:ascii="Times New Roman" w:hAnsi="Times New Roman" w:cs="Times New Roman"/>
          <w:u w:val="single"/>
        </w:rPr>
        <w:t xml:space="preserve"> </w:t>
      </w:r>
      <w:r w:rsidR="003B6982" w:rsidRPr="00401B41">
        <w:rPr>
          <w:rFonts w:ascii="Times New Roman" w:hAnsi="Times New Roman" w:cs="Times New Roman"/>
        </w:rPr>
        <w:t xml:space="preserve">– </w:t>
      </w:r>
      <w:r w:rsidR="00430877" w:rsidRPr="00401B41">
        <w:rPr>
          <w:rFonts w:ascii="Times New Roman" w:hAnsi="Times New Roman" w:cs="Times New Roman"/>
        </w:rPr>
        <w:t xml:space="preserve">rashodi su se </w:t>
      </w:r>
      <w:r w:rsidR="00B82C31" w:rsidRPr="00401B41">
        <w:rPr>
          <w:rFonts w:ascii="Times New Roman" w:hAnsi="Times New Roman" w:cs="Times New Roman"/>
        </w:rPr>
        <w:t xml:space="preserve">smanjili u odnosu na </w:t>
      </w:r>
      <w:r w:rsidR="00430877" w:rsidRPr="00401B41">
        <w:rPr>
          <w:rFonts w:ascii="Times New Roman" w:hAnsi="Times New Roman" w:cs="Times New Roman"/>
        </w:rPr>
        <w:t xml:space="preserve"> 202</w:t>
      </w:r>
      <w:r w:rsidR="00B82C31" w:rsidRPr="00401B41">
        <w:rPr>
          <w:rFonts w:ascii="Times New Roman" w:hAnsi="Times New Roman" w:cs="Times New Roman"/>
        </w:rPr>
        <w:t>4</w:t>
      </w:r>
      <w:r w:rsidR="00430877" w:rsidRPr="00401B41">
        <w:rPr>
          <w:rFonts w:ascii="Times New Roman" w:hAnsi="Times New Roman" w:cs="Times New Roman"/>
        </w:rPr>
        <w:t xml:space="preserve">. godinu, a </w:t>
      </w:r>
      <w:r w:rsidRPr="00401B41">
        <w:rPr>
          <w:rFonts w:ascii="Times New Roman" w:hAnsi="Times New Roman" w:cs="Times New Roman"/>
        </w:rPr>
        <w:t>radi se o naknadama za korištenje osobnog automobila u službene svrhe (</w:t>
      </w:r>
      <w:proofErr w:type="spellStart"/>
      <w:r w:rsidRPr="00401B41">
        <w:rPr>
          <w:rFonts w:ascii="Times New Roman" w:hAnsi="Times New Roman" w:cs="Times New Roman"/>
        </w:rPr>
        <w:t>loko</w:t>
      </w:r>
      <w:proofErr w:type="spellEnd"/>
      <w:r w:rsidRPr="00401B41">
        <w:rPr>
          <w:rFonts w:ascii="Times New Roman" w:hAnsi="Times New Roman" w:cs="Times New Roman"/>
        </w:rPr>
        <w:t xml:space="preserve"> vožnj</w:t>
      </w:r>
      <w:r w:rsidR="00C40C7F" w:rsidRPr="00401B41">
        <w:rPr>
          <w:rFonts w:ascii="Times New Roman" w:hAnsi="Times New Roman" w:cs="Times New Roman"/>
        </w:rPr>
        <w:t>u).</w:t>
      </w:r>
      <w:r w:rsidRPr="00401B41">
        <w:rPr>
          <w:rFonts w:ascii="Times New Roman" w:hAnsi="Times New Roman" w:cs="Times New Roman"/>
        </w:rPr>
        <w:t xml:space="preserve"> </w:t>
      </w:r>
    </w:p>
    <w:p w14:paraId="149955E6" w14:textId="77777777" w:rsidR="00401B41" w:rsidRPr="00401B41" w:rsidRDefault="00401B41" w:rsidP="00C40C7F">
      <w:pPr>
        <w:ind w:firstLine="708"/>
        <w:rPr>
          <w:rFonts w:ascii="Times New Roman" w:hAnsi="Times New Roman" w:cs="Times New Roman"/>
        </w:rPr>
      </w:pPr>
    </w:p>
    <w:p w14:paraId="6F2B3116" w14:textId="58C9D5D6" w:rsidR="00C40C7F" w:rsidRDefault="00607267" w:rsidP="00401B4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 xml:space="preserve">Uredski materijal i ostali materijalni rashodi 3221 </w:t>
      </w:r>
      <w:r w:rsidRPr="00401B41">
        <w:rPr>
          <w:rFonts w:ascii="Times New Roman" w:hAnsi="Times New Roman" w:cs="Times New Roman"/>
        </w:rPr>
        <w:t xml:space="preserve">– </w:t>
      </w:r>
      <w:r w:rsidR="00C40C7F" w:rsidRPr="00401B41">
        <w:rPr>
          <w:rFonts w:ascii="Times New Roman" w:hAnsi="Times New Roman" w:cs="Times New Roman"/>
        </w:rPr>
        <w:t>smanjenje rashoda u odnosu na 2024. godinu za 23 % jer nije bilo potrebe  za nabavom uredskog materijala</w:t>
      </w:r>
      <w:r w:rsidR="00EE6602">
        <w:rPr>
          <w:rFonts w:ascii="Times New Roman" w:hAnsi="Times New Roman" w:cs="Times New Roman"/>
        </w:rPr>
        <w:t xml:space="preserve"> u tolikom iznosu kao u istom razdoblju 2024. godine.</w:t>
      </w:r>
    </w:p>
    <w:p w14:paraId="028DABB0" w14:textId="77777777" w:rsidR="00401B41" w:rsidRPr="00401B41" w:rsidRDefault="00401B41" w:rsidP="00401B41">
      <w:pPr>
        <w:ind w:firstLine="708"/>
        <w:rPr>
          <w:rFonts w:ascii="Times New Roman" w:hAnsi="Times New Roman" w:cs="Times New Roman"/>
        </w:rPr>
      </w:pPr>
    </w:p>
    <w:p w14:paraId="5EC5F162" w14:textId="6DEACC3D" w:rsidR="00D92E47" w:rsidRDefault="00D92E47" w:rsidP="00411EE6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Materijal i sirovine 3222</w:t>
      </w:r>
      <w:r w:rsidRPr="00401B41">
        <w:rPr>
          <w:rFonts w:ascii="Times New Roman" w:hAnsi="Times New Roman" w:cs="Times New Roman"/>
        </w:rPr>
        <w:t xml:space="preserve"> – bilježi se povećanje rashoda za </w:t>
      </w:r>
      <w:r w:rsidR="00C40C7F" w:rsidRPr="00401B41">
        <w:rPr>
          <w:rFonts w:ascii="Times New Roman" w:hAnsi="Times New Roman" w:cs="Times New Roman"/>
        </w:rPr>
        <w:t>20</w:t>
      </w:r>
      <w:r w:rsidR="003A1576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% u odnosu na 202</w:t>
      </w:r>
      <w:r w:rsidR="00C40C7F" w:rsidRPr="00401B41">
        <w:rPr>
          <w:rFonts w:ascii="Times New Roman" w:hAnsi="Times New Roman" w:cs="Times New Roman"/>
        </w:rPr>
        <w:t>4</w:t>
      </w:r>
      <w:r w:rsidRPr="00401B41">
        <w:rPr>
          <w:rFonts w:ascii="Times New Roman" w:hAnsi="Times New Roman" w:cs="Times New Roman"/>
        </w:rPr>
        <w:t xml:space="preserve">. godinu. </w:t>
      </w:r>
      <w:r w:rsidR="00C40C7F" w:rsidRPr="00401B41">
        <w:rPr>
          <w:rFonts w:ascii="Times New Roman" w:hAnsi="Times New Roman" w:cs="Times New Roman"/>
        </w:rPr>
        <w:t>Na povećanje rashoda za namirnice za školsku kuhinju utjecalo je povećanje cijena na tržišt</w:t>
      </w:r>
      <w:r w:rsidR="00EE6602">
        <w:rPr>
          <w:rFonts w:ascii="Times New Roman" w:hAnsi="Times New Roman" w:cs="Times New Roman"/>
        </w:rPr>
        <w:t>u</w:t>
      </w:r>
      <w:r w:rsidR="00C40C7F" w:rsidRPr="00401B41">
        <w:rPr>
          <w:rFonts w:ascii="Times New Roman" w:hAnsi="Times New Roman" w:cs="Times New Roman"/>
        </w:rPr>
        <w:t xml:space="preserve">. </w:t>
      </w:r>
    </w:p>
    <w:p w14:paraId="71EB8611" w14:textId="77777777" w:rsidR="00401B41" w:rsidRPr="00401B41" w:rsidRDefault="00401B41" w:rsidP="00411EE6">
      <w:pPr>
        <w:ind w:firstLine="708"/>
        <w:rPr>
          <w:rFonts w:ascii="Times New Roman" w:hAnsi="Times New Roman" w:cs="Times New Roman"/>
        </w:rPr>
      </w:pPr>
    </w:p>
    <w:p w14:paraId="294186CB" w14:textId="27D8FEB5" w:rsidR="003B6982" w:rsidRDefault="00423BF1" w:rsidP="00411EE6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Energija 3223</w:t>
      </w:r>
      <w:r w:rsidRPr="00401B41">
        <w:rPr>
          <w:rFonts w:ascii="Times New Roman" w:hAnsi="Times New Roman" w:cs="Times New Roman"/>
        </w:rPr>
        <w:t xml:space="preserve"> – blago povećanje rashoda za </w:t>
      </w:r>
      <w:r w:rsidR="00C40C7F" w:rsidRPr="00401B41">
        <w:rPr>
          <w:rFonts w:ascii="Times New Roman" w:hAnsi="Times New Roman" w:cs="Times New Roman"/>
        </w:rPr>
        <w:t>18</w:t>
      </w:r>
      <w:r w:rsidR="003A1576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% rezultat je variranja potrošnje energenata sukladno vremenskim prilikama.</w:t>
      </w:r>
    </w:p>
    <w:p w14:paraId="71F73A36" w14:textId="77777777" w:rsidR="00401B41" w:rsidRPr="00401B41" w:rsidRDefault="00401B41" w:rsidP="00411EE6">
      <w:pPr>
        <w:ind w:firstLine="708"/>
        <w:rPr>
          <w:rFonts w:ascii="Times New Roman" w:hAnsi="Times New Roman" w:cs="Times New Roman"/>
        </w:rPr>
      </w:pPr>
    </w:p>
    <w:p w14:paraId="0621CD63" w14:textId="0A2FC95E" w:rsidR="00F67DC5" w:rsidRDefault="00423BF1" w:rsidP="00FB1C42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Materijal i dijelovi za tekuće i investicijsko održavanje 3224</w:t>
      </w:r>
      <w:r w:rsidRPr="00401B41">
        <w:rPr>
          <w:rFonts w:ascii="Times New Roman" w:hAnsi="Times New Roman" w:cs="Times New Roman"/>
        </w:rPr>
        <w:t xml:space="preserve"> </w:t>
      </w:r>
      <w:r w:rsidR="00ED2509" w:rsidRPr="00401B41">
        <w:rPr>
          <w:rFonts w:ascii="Times New Roman" w:hAnsi="Times New Roman" w:cs="Times New Roman"/>
        </w:rPr>
        <w:t>–</w:t>
      </w:r>
      <w:r w:rsidRPr="00401B41">
        <w:rPr>
          <w:rFonts w:ascii="Times New Roman" w:hAnsi="Times New Roman" w:cs="Times New Roman"/>
        </w:rPr>
        <w:t xml:space="preserve"> </w:t>
      </w:r>
      <w:r w:rsidR="00ED2509" w:rsidRPr="00401B41">
        <w:rPr>
          <w:rFonts w:ascii="Times New Roman" w:hAnsi="Times New Roman" w:cs="Times New Roman"/>
        </w:rPr>
        <w:t>bilje</w:t>
      </w:r>
      <w:r w:rsidR="00250A8C" w:rsidRPr="00401B41">
        <w:rPr>
          <w:rFonts w:ascii="Times New Roman" w:hAnsi="Times New Roman" w:cs="Times New Roman"/>
        </w:rPr>
        <w:t xml:space="preserve">ži </w:t>
      </w:r>
      <w:r w:rsidR="00C40C7F" w:rsidRPr="00401B41">
        <w:rPr>
          <w:rFonts w:ascii="Times New Roman" w:hAnsi="Times New Roman" w:cs="Times New Roman"/>
        </w:rPr>
        <w:t>smanjenje za 53</w:t>
      </w:r>
      <w:r w:rsidR="00250A8C" w:rsidRPr="00401B41">
        <w:rPr>
          <w:rFonts w:ascii="Times New Roman" w:hAnsi="Times New Roman" w:cs="Times New Roman"/>
        </w:rPr>
        <w:t xml:space="preserve"> %</w:t>
      </w:r>
      <w:r w:rsidR="00A74D86" w:rsidRPr="00401B41">
        <w:rPr>
          <w:rFonts w:ascii="Times New Roman" w:hAnsi="Times New Roman" w:cs="Times New Roman"/>
        </w:rPr>
        <w:t xml:space="preserve">  </w:t>
      </w:r>
      <w:r w:rsidR="00C40C7F" w:rsidRPr="00401B41">
        <w:rPr>
          <w:rFonts w:ascii="Times New Roman" w:hAnsi="Times New Roman" w:cs="Times New Roman"/>
        </w:rPr>
        <w:t>jer nije bilo potrebe za nabavom istih.</w:t>
      </w:r>
      <w:r w:rsidR="00995902" w:rsidRPr="00401B41">
        <w:rPr>
          <w:rFonts w:ascii="Times New Roman" w:hAnsi="Times New Roman" w:cs="Times New Roman"/>
        </w:rPr>
        <w:t xml:space="preserve"> </w:t>
      </w:r>
    </w:p>
    <w:p w14:paraId="0D3263AD" w14:textId="77777777" w:rsidR="00401B41" w:rsidRPr="00401B41" w:rsidRDefault="00401B41" w:rsidP="00FB1C42">
      <w:pPr>
        <w:ind w:firstLine="708"/>
        <w:rPr>
          <w:rFonts w:ascii="Times New Roman" w:hAnsi="Times New Roman" w:cs="Times New Roman"/>
        </w:rPr>
      </w:pPr>
    </w:p>
    <w:p w14:paraId="3ED8E108" w14:textId="6126A81B" w:rsidR="00FB1C42" w:rsidRDefault="00ED2509" w:rsidP="009F71E6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Sitni inventar  3225</w:t>
      </w:r>
      <w:r w:rsidRPr="00401B41">
        <w:rPr>
          <w:rFonts w:ascii="Times New Roman" w:hAnsi="Times New Roman" w:cs="Times New Roman"/>
        </w:rPr>
        <w:t xml:space="preserve"> – </w:t>
      </w:r>
      <w:r w:rsidR="00A74D86" w:rsidRPr="00401B41">
        <w:rPr>
          <w:rFonts w:ascii="Times New Roman" w:hAnsi="Times New Roman" w:cs="Times New Roman"/>
        </w:rPr>
        <w:t xml:space="preserve">bilježen porast rashoda za </w:t>
      </w:r>
      <w:r w:rsidR="00C40C7F" w:rsidRPr="00401B41">
        <w:rPr>
          <w:rFonts w:ascii="Times New Roman" w:hAnsi="Times New Roman" w:cs="Times New Roman"/>
        </w:rPr>
        <w:t>186</w:t>
      </w:r>
      <w:r w:rsidR="00A74D86" w:rsidRPr="00401B41">
        <w:rPr>
          <w:rFonts w:ascii="Times New Roman" w:hAnsi="Times New Roman" w:cs="Times New Roman"/>
        </w:rPr>
        <w:t xml:space="preserve"> % u odnosu na 202</w:t>
      </w:r>
      <w:r w:rsidR="00C40C7F" w:rsidRPr="00401B41">
        <w:rPr>
          <w:rFonts w:ascii="Times New Roman" w:hAnsi="Times New Roman" w:cs="Times New Roman"/>
        </w:rPr>
        <w:t>4</w:t>
      </w:r>
      <w:r w:rsidR="00A74D86" w:rsidRPr="00401B41">
        <w:rPr>
          <w:rFonts w:ascii="Times New Roman" w:hAnsi="Times New Roman" w:cs="Times New Roman"/>
        </w:rPr>
        <w:t>. godinu</w:t>
      </w:r>
      <w:r w:rsidR="00847802" w:rsidRPr="00401B41">
        <w:rPr>
          <w:rFonts w:ascii="Times New Roman" w:hAnsi="Times New Roman" w:cs="Times New Roman"/>
        </w:rPr>
        <w:t xml:space="preserve"> jer su nabavljeni materijali za provođenje B1 aktivnosti (</w:t>
      </w:r>
      <w:r w:rsidR="00F30267" w:rsidRPr="00401B41">
        <w:rPr>
          <w:rFonts w:ascii="Times New Roman" w:hAnsi="Times New Roman" w:cs="Times New Roman"/>
        </w:rPr>
        <w:t xml:space="preserve">zvono za vrata škole, edukacijski set za robotiku, sportski rekviziti za grupu </w:t>
      </w:r>
      <w:proofErr w:type="spellStart"/>
      <w:r w:rsidR="00F30267" w:rsidRPr="00401B41">
        <w:rPr>
          <w:rFonts w:ascii="Times New Roman" w:hAnsi="Times New Roman" w:cs="Times New Roman"/>
        </w:rPr>
        <w:t>Sportikus</w:t>
      </w:r>
      <w:proofErr w:type="spellEnd"/>
      <w:r w:rsidR="00F30267" w:rsidRPr="00401B41">
        <w:rPr>
          <w:rFonts w:ascii="Times New Roman" w:hAnsi="Times New Roman" w:cs="Times New Roman"/>
        </w:rPr>
        <w:t xml:space="preserve">…) </w:t>
      </w:r>
    </w:p>
    <w:p w14:paraId="230BFFDB" w14:textId="77777777" w:rsidR="00401B41" w:rsidRPr="00401B41" w:rsidRDefault="00401B41" w:rsidP="009F71E6">
      <w:pPr>
        <w:ind w:firstLine="708"/>
        <w:rPr>
          <w:rFonts w:ascii="Times New Roman" w:hAnsi="Times New Roman" w:cs="Times New Roman"/>
        </w:rPr>
      </w:pPr>
    </w:p>
    <w:p w14:paraId="429997C0" w14:textId="1E634B8D" w:rsidR="00F67DC5" w:rsidRDefault="00ED2509" w:rsidP="00FB1C42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Službena, radna i zaštitna odjeća i obuća 3227</w:t>
      </w:r>
      <w:r w:rsidRPr="00401B41">
        <w:rPr>
          <w:rFonts w:ascii="Times New Roman" w:hAnsi="Times New Roman" w:cs="Times New Roman"/>
        </w:rPr>
        <w:t xml:space="preserve"> –rashodi za nabavu radne odjeće i obuće za spremačice, domara i kuharice</w:t>
      </w:r>
      <w:r w:rsidR="00F30267" w:rsidRPr="00401B41">
        <w:rPr>
          <w:rFonts w:ascii="Times New Roman" w:hAnsi="Times New Roman" w:cs="Times New Roman"/>
        </w:rPr>
        <w:t xml:space="preserve"> povećan je u odnosu na 2024. godinu za 50 % iz razloga što je u ovoj godini bilo potrebe za kupnjom radne obuće za spremačice, domara i djelatnike u školskoj kuhinji, kuta za spremačice i radnog odijela za domara.</w:t>
      </w:r>
    </w:p>
    <w:p w14:paraId="625635A4" w14:textId="77777777" w:rsidR="00401B41" w:rsidRPr="00401B41" w:rsidRDefault="00401B41" w:rsidP="00FB1C42">
      <w:pPr>
        <w:ind w:firstLine="708"/>
        <w:rPr>
          <w:rFonts w:ascii="Times New Roman" w:hAnsi="Times New Roman" w:cs="Times New Roman"/>
        </w:rPr>
      </w:pPr>
    </w:p>
    <w:p w14:paraId="7C28C478" w14:textId="2054B11E" w:rsidR="00F67DC5" w:rsidRDefault="00EE4C55" w:rsidP="00FB1C42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Usluge telefona, pošte i prijevoza 3231</w:t>
      </w:r>
      <w:r w:rsidRPr="00401B41">
        <w:rPr>
          <w:rFonts w:ascii="Times New Roman" w:hAnsi="Times New Roman" w:cs="Times New Roman"/>
        </w:rPr>
        <w:t xml:space="preserve"> – bilježe </w:t>
      </w:r>
      <w:r w:rsidR="00F30267" w:rsidRPr="00401B41">
        <w:rPr>
          <w:rFonts w:ascii="Times New Roman" w:hAnsi="Times New Roman" w:cs="Times New Roman"/>
        </w:rPr>
        <w:t xml:space="preserve">blagi </w:t>
      </w:r>
      <w:r w:rsidR="00847802" w:rsidRPr="00401B41">
        <w:rPr>
          <w:rFonts w:ascii="Times New Roman" w:hAnsi="Times New Roman" w:cs="Times New Roman"/>
        </w:rPr>
        <w:t>porast</w:t>
      </w:r>
      <w:r w:rsidRPr="00401B41">
        <w:rPr>
          <w:rFonts w:ascii="Times New Roman" w:hAnsi="Times New Roman" w:cs="Times New Roman"/>
        </w:rPr>
        <w:t xml:space="preserve"> za </w:t>
      </w:r>
      <w:r w:rsidR="00F30267" w:rsidRPr="00401B41">
        <w:rPr>
          <w:rFonts w:ascii="Times New Roman" w:hAnsi="Times New Roman" w:cs="Times New Roman"/>
        </w:rPr>
        <w:t>12</w:t>
      </w:r>
      <w:r w:rsidR="00847802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 xml:space="preserve">% </w:t>
      </w:r>
      <w:r w:rsidR="00F30267" w:rsidRPr="00401B41">
        <w:rPr>
          <w:rFonts w:ascii="Times New Roman" w:hAnsi="Times New Roman" w:cs="Times New Roman"/>
        </w:rPr>
        <w:t xml:space="preserve"> u odnosu na 2024. godinu</w:t>
      </w:r>
      <w:r w:rsidR="00E76D15" w:rsidRPr="00401B41">
        <w:rPr>
          <w:rFonts w:ascii="Times New Roman" w:hAnsi="Times New Roman" w:cs="Times New Roman"/>
        </w:rPr>
        <w:t>, a isto se odnosi na veći broj prijevoznih troškova na terenske nastave u sklopu B1 aktivnosti.</w:t>
      </w:r>
    </w:p>
    <w:p w14:paraId="6C1B8BE3" w14:textId="77777777" w:rsidR="00401B41" w:rsidRPr="00401B41" w:rsidRDefault="00401B41" w:rsidP="00FB1C42">
      <w:pPr>
        <w:ind w:firstLine="708"/>
        <w:rPr>
          <w:rFonts w:ascii="Times New Roman" w:hAnsi="Times New Roman" w:cs="Times New Roman"/>
        </w:rPr>
      </w:pPr>
    </w:p>
    <w:p w14:paraId="14943EF1" w14:textId="04A63C2E" w:rsidR="00E76D15" w:rsidRDefault="00EE4C55" w:rsidP="00E76D15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Usluge tekućeg i investicijskog održavanja 3232</w:t>
      </w:r>
      <w:r w:rsidRPr="00401B41">
        <w:rPr>
          <w:rFonts w:ascii="Times New Roman" w:hAnsi="Times New Roman" w:cs="Times New Roman"/>
        </w:rPr>
        <w:t xml:space="preserve"> – bilježe  porast u 202</w:t>
      </w:r>
      <w:r w:rsidR="00E76D15" w:rsidRPr="00401B41">
        <w:rPr>
          <w:rFonts w:ascii="Times New Roman" w:hAnsi="Times New Roman" w:cs="Times New Roman"/>
        </w:rPr>
        <w:t>5</w:t>
      </w:r>
      <w:r w:rsidRPr="00401B41">
        <w:rPr>
          <w:rFonts w:ascii="Times New Roman" w:hAnsi="Times New Roman" w:cs="Times New Roman"/>
        </w:rPr>
        <w:t>. godini</w:t>
      </w:r>
      <w:r w:rsidR="00E76D15" w:rsidRPr="00401B41">
        <w:rPr>
          <w:rFonts w:ascii="Times New Roman" w:hAnsi="Times New Roman" w:cs="Times New Roman"/>
        </w:rPr>
        <w:t xml:space="preserve"> od 21 %</w:t>
      </w:r>
      <w:r w:rsidRPr="00401B41">
        <w:rPr>
          <w:rFonts w:ascii="Times New Roman" w:hAnsi="Times New Roman" w:cs="Times New Roman"/>
        </w:rPr>
        <w:t xml:space="preserve"> jer je osim redovnih troškova održavanja </w:t>
      </w:r>
      <w:r w:rsidR="00FB3672" w:rsidRPr="00401B41">
        <w:rPr>
          <w:rFonts w:ascii="Times New Roman" w:hAnsi="Times New Roman" w:cs="Times New Roman"/>
        </w:rPr>
        <w:t>sustava ventilacije</w:t>
      </w:r>
      <w:r w:rsidR="00360712" w:rsidRPr="00401B41">
        <w:rPr>
          <w:rFonts w:ascii="Times New Roman" w:hAnsi="Times New Roman" w:cs="Times New Roman"/>
        </w:rPr>
        <w:t>,</w:t>
      </w:r>
      <w:r w:rsidR="00FB3672" w:rsidRPr="00401B41">
        <w:rPr>
          <w:rFonts w:ascii="Times New Roman" w:hAnsi="Times New Roman" w:cs="Times New Roman"/>
        </w:rPr>
        <w:t xml:space="preserve"> vatrodojave</w:t>
      </w:r>
      <w:r w:rsidR="00360712" w:rsidRPr="00401B41">
        <w:rPr>
          <w:rFonts w:ascii="Times New Roman" w:hAnsi="Times New Roman" w:cs="Times New Roman"/>
        </w:rPr>
        <w:t xml:space="preserve"> i servisa dizala, </w:t>
      </w:r>
      <w:r w:rsidR="00E76D15" w:rsidRPr="00401B41">
        <w:rPr>
          <w:rFonts w:ascii="Times New Roman" w:hAnsi="Times New Roman" w:cs="Times New Roman"/>
        </w:rPr>
        <w:t xml:space="preserve"> došlo do potrebe ugradnje </w:t>
      </w:r>
      <w:proofErr w:type="spellStart"/>
      <w:r w:rsidR="00E76D15" w:rsidRPr="00401B41">
        <w:rPr>
          <w:rFonts w:ascii="Times New Roman" w:hAnsi="Times New Roman" w:cs="Times New Roman"/>
        </w:rPr>
        <w:t>smanjivača</w:t>
      </w:r>
      <w:proofErr w:type="spellEnd"/>
      <w:r w:rsidR="00E76D15" w:rsidRPr="00401B41">
        <w:rPr>
          <w:rFonts w:ascii="Times New Roman" w:hAnsi="Times New Roman" w:cs="Times New Roman"/>
        </w:rPr>
        <w:t xml:space="preserve"> tlaka na vodovodnoj instalaciji te </w:t>
      </w:r>
      <w:r w:rsidR="00EE6602">
        <w:rPr>
          <w:rFonts w:ascii="Times New Roman" w:hAnsi="Times New Roman" w:cs="Times New Roman"/>
        </w:rPr>
        <w:t xml:space="preserve">su </w:t>
      </w:r>
      <w:r w:rsidR="00E76D15" w:rsidRPr="00401B41">
        <w:rPr>
          <w:rFonts w:ascii="Times New Roman" w:hAnsi="Times New Roman" w:cs="Times New Roman"/>
        </w:rPr>
        <w:t xml:space="preserve">provedeni kablovi za </w:t>
      </w:r>
      <w:r w:rsidR="00EE6602">
        <w:rPr>
          <w:rFonts w:ascii="Times New Roman" w:hAnsi="Times New Roman" w:cs="Times New Roman"/>
        </w:rPr>
        <w:t>i</w:t>
      </w:r>
      <w:r w:rsidR="00E76D15" w:rsidRPr="00401B41">
        <w:rPr>
          <w:rFonts w:ascii="Times New Roman" w:hAnsi="Times New Roman" w:cs="Times New Roman"/>
        </w:rPr>
        <w:t>nternet</w:t>
      </w:r>
      <w:r w:rsidR="00901FF4" w:rsidRPr="00401B41">
        <w:rPr>
          <w:rFonts w:ascii="Times New Roman" w:hAnsi="Times New Roman" w:cs="Times New Roman"/>
        </w:rPr>
        <w:t xml:space="preserve"> za vatrodojavnu centralu, popravljena je kosilica, te je financirana automatika za rasvjetu na igralištu.</w:t>
      </w:r>
    </w:p>
    <w:p w14:paraId="5D048310" w14:textId="77777777" w:rsidR="00401B41" w:rsidRPr="00401B41" w:rsidRDefault="00401B41" w:rsidP="00E76D15">
      <w:pPr>
        <w:ind w:firstLine="708"/>
        <w:rPr>
          <w:rFonts w:ascii="Times New Roman" w:hAnsi="Times New Roman" w:cs="Times New Roman"/>
        </w:rPr>
      </w:pPr>
    </w:p>
    <w:p w14:paraId="49B4A293" w14:textId="1124EA49" w:rsidR="00377D6C" w:rsidRDefault="00377D6C" w:rsidP="00EE4C55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Komunalne usluge 3234</w:t>
      </w:r>
      <w:r w:rsidRPr="00401B41">
        <w:rPr>
          <w:rFonts w:ascii="Times New Roman" w:hAnsi="Times New Roman" w:cs="Times New Roman"/>
        </w:rPr>
        <w:t xml:space="preserve"> – rashodi bilježe porast za </w:t>
      </w:r>
      <w:r w:rsidR="00901FF4" w:rsidRPr="00401B41">
        <w:rPr>
          <w:rFonts w:ascii="Times New Roman" w:hAnsi="Times New Roman" w:cs="Times New Roman"/>
        </w:rPr>
        <w:t>11</w:t>
      </w:r>
      <w:r w:rsidR="00360712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% u odnosu na prethodnu godinu</w:t>
      </w:r>
      <w:r w:rsidR="00901FF4" w:rsidRPr="00401B41">
        <w:rPr>
          <w:rFonts w:ascii="Times New Roman" w:hAnsi="Times New Roman" w:cs="Times New Roman"/>
        </w:rPr>
        <w:t xml:space="preserve"> i to zbog </w:t>
      </w:r>
      <w:r w:rsidR="006017AC" w:rsidRPr="00401B41">
        <w:rPr>
          <w:rFonts w:ascii="Times New Roman" w:hAnsi="Times New Roman" w:cs="Times New Roman"/>
        </w:rPr>
        <w:t>toga jer je od  2025. godine uvedena obveza napraviti procjenu rashoda koji nisu fakturirani pa je isto napravljeno za usluge vode.</w:t>
      </w:r>
    </w:p>
    <w:p w14:paraId="503CB475" w14:textId="77777777" w:rsidR="00401B41" w:rsidRPr="00401B41" w:rsidRDefault="00401B41" w:rsidP="00EE4C55">
      <w:pPr>
        <w:ind w:firstLine="708"/>
        <w:rPr>
          <w:rFonts w:ascii="Times New Roman" w:hAnsi="Times New Roman" w:cs="Times New Roman"/>
        </w:rPr>
      </w:pPr>
    </w:p>
    <w:p w14:paraId="69186FE4" w14:textId="43E3C059" w:rsidR="00E27085" w:rsidRDefault="00963DCB" w:rsidP="00D723F6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Zakupnine i najamnine 3235</w:t>
      </w:r>
      <w:r w:rsidRPr="00401B41">
        <w:rPr>
          <w:rFonts w:ascii="Times New Roman" w:hAnsi="Times New Roman" w:cs="Times New Roman"/>
        </w:rPr>
        <w:t xml:space="preserve"> – </w:t>
      </w:r>
      <w:r w:rsidR="00E27085" w:rsidRPr="00401B41">
        <w:rPr>
          <w:rFonts w:ascii="Times New Roman" w:hAnsi="Times New Roman" w:cs="Times New Roman"/>
        </w:rPr>
        <w:t>smanjenje troškova  za 26 %</w:t>
      </w:r>
      <w:r w:rsidR="00D723F6" w:rsidRPr="00401B41">
        <w:rPr>
          <w:rFonts w:ascii="Times New Roman" w:hAnsi="Times New Roman" w:cs="Times New Roman"/>
        </w:rPr>
        <w:t xml:space="preserve"> u odnosu na 2024. godinu i to zbog manjih troškova najma i obračuna kopiranja fotokopirnih uređaja. </w:t>
      </w:r>
    </w:p>
    <w:p w14:paraId="1356F9FD" w14:textId="3559A6F4" w:rsidR="00401B41" w:rsidRDefault="00401B41" w:rsidP="00D723F6">
      <w:pPr>
        <w:ind w:firstLine="708"/>
        <w:rPr>
          <w:rFonts w:ascii="Times New Roman" w:hAnsi="Times New Roman" w:cs="Times New Roman"/>
        </w:rPr>
      </w:pPr>
    </w:p>
    <w:p w14:paraId="4B66BF5F" w14:textId="3FC88C75" w:rsidR="00401B41" w:rsidRDefault="00401B41" w:rsidP="00D723F6">
      <w:pPr>
        <w:ind w:firstLine="708"/>
        <w:rPr>
          <w:rFonts w:ascii="Times New Roman" w:hAnsi="Times New Roman" w:cs="Times New Roman"/>
        </w:rPr>
      </w:pPr>
    </w:p>
    <w:p w14:paraId="0BC14264" w14:textId="77777777" w:rsidR="00401B41" w:rsidRPr="00401B41" w:rsidRDefault="00401B41" w:rsidP="00D723F6">
      <w:pPr>
        <w:ind w:firstLine="708"/>
        <w:rPr>
          <w:rFonts w:ascii="Times New Roman" w:hAnsi="Times New Roman" w:cs="Times New Roman"/>
        </w:rPr>
      </w:pPr>
    </w:p>
    <w:p w14:paraId="5969BCB8" w14:textId="7E17BCAB" w:rsidR="00B251FD" w:rsidRDefault="006615A2" w:rsidP="00F67DC5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Zdravstvene i veterinarske usluge 3236</w:t>
      </w:r>
      <w:r w:rsidRPr="00401B41">
        <w:rPr>
          <w:rFonts w:ascii="Times New Roman" w:hAnsi="Times New Roman" w:cs="Times New Roman"/>
        </w:rPr>
        <w:t xml:space="preserve"> – rashodi su u 2024. godini za </w:t>
      </w:r>
      <w:r w:rsidR="00D723F6" w:rsidRPr="00401B41">
        <w:rPr>
          <w:rFonts w:ascii="Times New Roman" w:hAnsi="Times New Roman" w:cs="Times New Roman"/>
        </w:rPr>
        <w:t>58</w:t>
      </w:r>
      <w:r w:rsidR="00360712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 xml:space="preserve">% </w:t>
      </w:r>
      <w:r w:rsidR="00D723F6" w:rsidRPr="00401B41">
        <w:rPr>
          <w:rFonts w:ascii="Times New Roman" w:hAnsi="Times New Roman" w:cs="Times New Roman"/>
        </w:rPr>
        <w:t>manji</w:t>
      </w:r>
      <w:r w:rsidRPr="00401B41">
        <w:rPr>
          <w:rFonts w:ascii="Times New Roman" w:hAnsi="Times New Roman" w:cs="Times New Roman"/>
        </w:rPr>
        <w:t xml:space="preserve"> nego u prethodnoj godini</w:t>
      </w:r>
      <w:r w:rsidR="00360712" w:rsidRPr="00401B41">
        <w:rPr>
          <w:rFonts w:ascii="Times New Roman" w:hAnsi="Times New Roman" w:cs="Times New Roman"/>
        </w:rPr>
        <w:t xml:space="preserve"> i to zbog </w:t>
      </w:r>
      <w:r w:rsidR="00D723F6" w:rsidRPr="00401B41">
        <w:rPr>
          <w:rFonts w:ascii="Times New Roman" w:hAnsi="Times New Roman" w:cs="Times New Roman"/>
        </w:rPr>
        <w:t xml:space="preserve">manje obavljenih </w:t>
      </w:r>
      <w:r w:rsidR="00360712" w:rsidRPr="00401B41">
        <w:rPr>
          <w:rFonts w:ascii="Times New Roman" w:hAnsi="Times New Roman" w:cs="Times New Roman"/>
        </w:rPr>
        <w:t>sistematskih pregleda djelatnika</w:t>
      </w:r>
      <w:r w:rsidR="00D723F6" w:rsidRPr="00401B41">
        <w:rPr>
          <w:rFonts w:ascii="Times New Roman" w:hAnsi="Times New Roman" w:cs="Times New Roman"/>
        </w:rPr>
        <w:t>,</w:t>
      </w:r>
      <w:r w:rsidR="00EE6602">
        <w:rPr>
          <w:rFonts w:ascii="Times New Roman" w:hAnsi="Times New Roman" w:cs="Times New Roman"/>
        </w:rPr>
        <w:t xml:space="preserve"> a</w:t>
      </w:r>
      <w:r w:rsidR="00D723F6" w:rsidRPr="00401B41">
        <w:rPr>
          <w:rFonts w:ascii="Times New Roman" w:hAnsi="Times New Roman" w:cs="Times New Roman"/>
        </w:rPr>
        <w:t xml:space="preserve"> koji će pregled obaviti do kraja 2025. godine.</w:t>
      </w:r>
    </w:p>
    <w:p w14:paraId="2F43CB19" w14:textId="77777777" w:rsidR="00401B41" w:rsidRPr="00401B41" w:rsidRDefault="00401B41" w:rsidP="00F67DC5">
      <w:pPr>
        <w:ind w:firstLine="708"/>
        <w:rPr>
          <w:rFonts w:ascii="Times New Roman" w:hAnsi="Times New Roman" w:cs="Times New Roman"/>
        </w:rPr>
      </w:pPr>
    </w:p>
    <w:p w14:paraId="12CA93F6" w14:textId="27177E66" w:rsidR="006615A2" w:rsidRDefault="006615A2" w:rsidP="00EE4C55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Intelektualne i osobne usluge 3237</w:t>
      </w:r>
      <w:r w:rsidRPr="00401B41">
        <w:rPr>
          <w:rFonts w:ascii="Times New Roman" w:hAnsi="Times New Roman" w:cs="Times New Roman"/>
        </w:rPr>
        <w:t xml:space="preserve"> – rashodi bilježe </w:t>
      </w:r>
      <w:r w:rsidR="00360712" w:rsidRPr="00401B41">
        <w:rPr>
          <w:rFonts w:ascii="Times New Roman" w:hAnsi="Times New Roman" w:cs="Times New Roman"/>
        </w:rPr>
        <w:t>porast</w:t>
      </w:r>
      <w:r w:rsidRPr="00401B41">
        <w:rPr>
          <w:rFonts w:ascii="Times New Roman" w:hAnsi="Times New Roman" w:cs="Times New Roman"/>
        </w:rPr>
        <w:t xml:space="preserve"> </w:t>
      </w:r>
      <w:r w:rsidR="00D723F6" w:rsidRPr="00401B41">
        <w:rPr>
          <w:rFonts w:ascii="Times New Roman" w:hAnsi="Times New Roman" w:cs="Times New Roman"/>
        </w:rPr>
        <w:t xml:space="preserve"> od 61 % </w:t>
      </w:r>
      <w:r w:rsidRPr="00401B41">
        <w:rPr>
          <w:rFonts w:ascii="Times New Roman" w:hAnsi="Times New Roman" w:cs="Times New Roman"/>
        </w:rPr>
        <w:t xml:space="preserve">u </w:t>
      </w:r>
      <w:r w:rsidR="00D723F6" w:rsidRPr="00401B41">
        <w:rPr>
          <w:rFonts w:ascii="Times New Roman" w:hAnsi="Times New Roman" w:cs="Times New Roman"/>
        </w:rPr>
        <w:t xml:space="preserve">odnosu na </w:t>
      </w:r>
      <w:r w:rsidRPr="00401B41">
        <w:rPr>
          <w:rFonts w:ascii="Times New Roman" w:hAnsi="Times New Roman" w:cs="Times New Roman"/>
        </w:rPr>
        <w:t>2024. godin</w:t>
      </w:r>
      <w:r w:rsidR="00D723F6" w:rsidRPr="00401B41">
        <w:rPr>
          <w:rFonts w:ascii="Times New Roman" w:hAnsi="Times New Roman" w:cs="Times New Roman"/>
        </w:rPr>
        <w:t>u</w:t>
      </w:r>
      <w:r w:rsidRPr="00401B41">
        <w:rPr>
          <w:rFonts w:ascii="Times New Roman" w:hAnsi="Times New Roman" w:cs="Times New Roman"/>
        </w:rPr>
        <w:t xml:space="preserve">, </w:t>
      </w:r>
      <w:r w:rsidR="00DD74EB" w:rsidRPr="00401B41">
        <w:rPr>
          <w:rFonts w:ascii="Times New Roman" w:hAnsi="Times New Roman" w:cs="Times New Roman"/>
        </w:rPr>
        <w:t xml:space="preserve">a radi se o ugovorima sklopljenim sa vanjskim suradnicima vezano uz provođenje  B2 aktivnosti eksperimentalnog programa cjelodnevne nastave </w:t>
      </w:r>
      <w:r w:rsidR="00D723F6" w:rsidRPr="00401B41">
        <w:rPr>
          <w:rFonts w:ascii="Times New Roman" w:hAnsi="Times New Roman" w:cs="Times New Roman"/>
        </w:rPr>
        <w:t xml:space="preserve"> vezano uz </w:t>
      </w:r>
      <w:r w:rsidR="00EE6602">
        <w:rPr>
          <w:rFonts w:ascii="Times New Roman" w:hAnsi="Times New Roman" w:cs="Times New Roman"/>
        </w:rPr>
        <w:t xml:space="preserve">provedbu aktivnosti </w:t>
      </w:r>
      <w:r w:rsidR="00DD74EB" w:rsidRPr="00401B41">
        <w:rPr>
          <w:rFonts w:ascii="Times New Roman" w:hAnsi="Times New Roman" w:cs="Times New Roman"/>
        </w:rPr>
        <w:t>nogomet</w:t>
      </w:r>
      <w:r w:rsidR="00EE6602">
        <w:rPr>
          <w:rFonts w:ascii="Times New Roman" w:hAnsi="Times New Roman" w:cs="Times New Roman"/>
        </w:rPr>
        <w:t>a</w:t>
      </w:r>
      <w:r w:rsidR="00DD74EB" w:rsidRPr="00401B41">
        <w:rPr>
          <w:rFonts w:ascii="Times New Roman" w:hAnsi="Times New Roman" w:cs="Times New Roman"/>
        </w:rPr>
        <w:t xml:space="preserve">, </w:t>
      </w:r>
      <w:r w:rsidR="00D723F6" w:rsidRPr="00401B41">
        <w:rPr>
          <w:rFonts w:ascii="Times New Roman" w:hAnsi="Times New Roman" w:cs="Times New Roman"/>
        </w:rPr>
        <w:t>ples</w:t>
      </w:r>
      <w:r w:rsidR="00EE6602">
        <w:rPr>
          <w:rFonts w:ascii="Times New Roman" w:hAnsi="Times New Roman" w:cs="Times New Roman"/>
        </w:rPr>
        <w:t>a</w:t>
      </w:r>
      <w:r w:rsidR="00DD74EB" w:rsidRPr="00401B41">
        <w:rPr>
          <w:rFonts w:ascii="Times New Roman" w:hAnsi="Times New Roman" w:cs="Times New Roman"/>
        </w:rPr>
        <w:t xml:space="preserve">, </w:t>
      </w:r>
      <w:r w:rsidR="00D723F6" w:rsidRPr="00401B41">
        <w:rPr>
          <w:rFonts w:ascii="Times New Roman" w:hAnsi="Times New Roman" w:cs="Times New Roman"/>
        </w:rPr>
        <w:t>crtanj</w:t>
      </w:r>
      <w:r w:rsidR="00EE6602">
        <w:rPr>
          <w:rFonts w:ascii="Times New Roman" w:hAnsi="Times New Roman" w:cs="Times New Roman"/>
        </w:rPr>
        <w:t>a</w:t>
      </w:r>
      <w:r w:rsidR="00D723F6" w:rsidRPr="00401B41">
        <w:rPr>
          <w:rFonts w:ascii="Times New Roman" w:hAnsi="Times New Roman" w:cs="Times New Roman"/>
        </w:rPr>
        <w:t xml:space="preserve"> i glazb</w:t>
      </w:r>
      <w:r w:rsidR="00EE6602">
        <w:rPr>
          <w:rFonts w:ascii="Times New Roman" w:hAnsi="Times New Roman" w:cs="Times New Roman"/>
        </w:rPr>
        <w:t>e</w:t>
      </w:r>
      <w:r w:rsidR="00D723F6" w:rsidRPr="00401B41">
        <w:rPr>
          <w:rFonts w:ascii="Times New Roman" w:hAnsi="Times New Roman" w:cs="Times New Roman"/>
        </w:rPr>
        <w:t>.</w:t>
      </w:r>
    </w:p>
    <w:p w14:paraId="04EE90C8" w14:textId="77777777" w:rsidR="00401B41" w:rsidRPr="00401B41" w:rsidRDefault="00401B41" w:rsidP="00EE4C55">
      <w:pPr>
        <w:ind w:firstLine="708"/>
        <w:rPr>
          <w:rFonts w:ascii="Times New Roman" w:hAnsi="Times New Roman" w:cs="Times New Roman"/>
        </w:rPr>
      </w:pPr>
    </w:p>
    <w:p w14:paraId="5B00A782" w14:textId="3B502C6A" w:rsidR="0032402D" w:rsidRDefault="0032402D" w:rsidP="00EE4C55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Računalne usluge 3238</w:t>
      </w:r>
      <w:r w:rsidRPr="00401B41">
        <w:rPr>
          <w:rFonts w:ascii="Times New Roman" w:hAnsi="Times New Roman" w:cs="Times New Roman"/>
        </w:rPr>
        <w:t xml:space="preserve"> – bilježe </w:t>
      </w:r>
      <w:r w:rsidR="00D723F6" w:rsidRPr="00401B41">
        <w:rPr>
          <w:rFonts w:ascii="Times New Roman" w:hAnsi="Times New Roman" w:cs="Times New Roman"/>
        </w:rPr>
        <w:t xml:space="preserve">smanjenje troškova </w:t>
      </w:r>
      <w:r w:rsidRPr="00401B41">
        <w:rPr>
          <w:rFonts w:ascii="Times New Roman" w:hAnsi="Times New Roman" w:cs="Times New Roman"/>
        </w:rPr>
        <w:t xml:space="preserve"> za</w:t>
      </w:r>
      <w:r w:rsidR="00D723F6" w:rsidRPr="00401B41">
        <w:rPr>
          <w:rFonts w:ascii="Times New Roman" w:hAnsi="Times New Roman" w:cs="Times New Roman"/>
        </w:rPr>
        <w:t xml:space="preserve"> 24</w:t>
      </w:r>
      <w:r w:rsidR="00DD74EB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 xml:space="preserve">% zbog </w:t>
      </w:r>
      <w:r w:rsidR="00D723F6" w:rsidRPr="00401B41">
        <w:rPr>
          <w:rFonts w:ascii="Times New Roman" w:hAnsi="Times New Roman" w:cs="Times New Roman"/>
        </w:rPr>
        <w:t>toga jer je u 2024. godini bilo potrebe za nabavom aplikativnog rješenja za objav</w:t>
      </w:r>
      <w:r w:rsidR="00EE6602">
        <w:rPr>
          <w:rFonts w:ascii="Times New Roman" w:hAnsi="Times New Roman" w:cs="Times New Roman"/>
        </w:rPr>
        <w:t>u</w:t>
      </w:r>
      <w:r w:rsidR="00D723F6" w:rsidRPr="00401B41">
        <w:rPr>
          <w:rFonts w:ascii="Times New Roman" w:hAnsi="Times New Roman" w:cs="Times New Roman"/>
        </w:rPr>
        <w:t xml:space="preserve"> transparentnih podataka o troškovima škole, dok su u 2025. godini evidentirani </w:t>
      </w:r>
      <w:r w:rsidR="00EE6602">
        <w:rPr>
          <w:rFonts w:ascii="Times New Roman" w:hAnsi="Times New Roman" w:cs="Times New Roman"/>
        </w:rPr>
        <w:t xml:space="preserve">samo </w:t>
      </w:r>
      <w:r w:rsidR="00D723F6" w:rsidRPr="00401B41">
        <w:rPr>
          <w:rFonts w:ascii="Times New Roman" w:hAnsi="Times New Roman" w:cs="Times New Roman"/>
        </w:rPr>
        <w:t>redovni troškovi vezani uz zaprimanje e-računa i računalne usluge vezane uz računovodstveni program.</w:t>
      </w:r>
    </w:p>
    <w:p w14:paraId="2782126F" w14:textId="77777777" w:rsidR="00401B41" w:rsidRPr="00401B41" w:rsidRDefault="00401B41" w:rsidP="00EE4C55">
      <w:pPr>
        <w:ind w:firstLine="708"/>
        <w:rPr>
          <w:rFonts w:ascii="Times New Roman" w:hAnsi="Times New Roman" w:cs="Times New Roman"/>
        </w:rPr>
      </w:pPr>
    </w:p>
    <w:p w14:paraId="31D4BEB7" w14:textId="6EAC1CAF" w:rsidR="00E574C4" w:rsidRDefault="004364C5" w:rsidP="00401B4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Ostale usluge 3239</w:t>
      </w:r>
      <w:r w:rsidRPr="00401B41">
        <w:rPr>
          <w:rFonts w:ascii="Times New Roman" w:hAnsi="Times New Roman" w:cs="Times New Roman"/>
        </w:rPr>
        <w:t xml:space="preserve"> – </w:t>
      </w:r>
      <w:r w:rsidR="00E35E8D" w:rsidRPr="00401B41">
        <w:rPr>
          <w:rFonts w:ascii="Times New Roman" w:hAnsi="Times New Roman" w:cs="Times New Roman"/>
        </w:rPr>
        <w:t xml:space="preserve">dolazi do povećanja rashoda za </w:t>
      </w:r>
      <w:r w:rsidR="00D723F6" w:rsidRPr="00401B41">
        <w:rPr>
          <w:rFonts w:ascii="Times New Roman" w:hAnsi="Times New Roman" w:cs="Times New Roman"/>
        </w:rPr>
        <w:t>37</w:t>
      </w:r>
      <w:r w:rsidR="00E35E8D" w:rsidRPr="00401B41">
        <w:rPr>
          <w:rFonts w:ascii="Times New Roman" w:hAnsi="Times New Roman" w:cs="Times New Roman"/>
        </w:rPr>
        <w:t xml:space="preserve"> % u odnosu na 202</w:t>
      </w:r>
      <w:r w:rsidR="00D723F6" w:rsidRPr="00401B41">
        <w:rPr>
          <w:rFonts w:ascii="Times New Roman" w:hAnsi="Times New Roman" w:cs="Times New Roman"/>
        </w:rPr>
        <w:t>4</w:t>
      </w:r>
      <w:r w:rsidR="00E35E8D" w:rsidRPr="00401B41">
        <w:rPr>
          <w:rFonts w:ascii="Times New Roman" w:hAnsi="Times New Roman" w:cs="Times New Roman"/>
        </w:rPr>
        <w:t>. godinu, a rashodi se odnose</w:t>
      </w:r>
      <w:r w:rsidR="00E0596A" w:rsidRPr="00401B41">
        <w:rPr>
          <w:rFonts w:ascii="Times New Roman" w:hAnsi="Times New Roman" w:cs="Times New Roman"/>
        </w:rPr>
        <w:t xml:space="preserve">  usluge zaštite od požara, te </w:t>
      </w:r>
      <w:r w:rsidR="00E35E8D" w:rsidRPr="00401B41">
        <w:rPr>
          <w:rFonts w:ascii="Times New Roman" w:hAnsi="Times New Roman" w:cs="Times New Roman"/>
        </w:rPr>
        <w:t xml:space="preserve"> na usluge </w:t>
      </w:r>
      <w:r w:rsidR="00D723F6" w:rsidRPr="00401B41">
        <w:rPr>
          <w:rFonts w:ascii="Times New Roman" w:hAnsi="Times New Roman" w:cs="Times New Roman"/>
        </w:rPr>
        <w:t xml:space="preserve">vezane uz provođenje B1 aktivnosti </w:t>
      </w:r>
      <w:r w:rsidR="00E0596A" w:rsidRPr="00401B41">
        <w:rPr>
          <w:rFonts w:ascii="Times New Roman" w:hAnsi="Times New Roman" w:cs="Times New Roman"/>
        </w:rPr>
        <w:t>–</w:t>
      </w:r>
      <w:r w:rsidR="00D723F6" w:rsidRPr="00401B41">
        <w:rPr>
          <w:rFonts w:ascii="Times New Roman" w:hAnsi="Times New Roman" w:cs="Times New Roman"/>
        </w:rPr>
        <w:t xml:space="preserve"> </w:t>
      </w:r>
      <w:r w:rsidR="00E0596A" w:rsidRPr="00401B41">
        <w:rPr>
          <w:rFonts w:ascii="Times New Roman" w:hAnsi="Times New Roman" w:cs="Times New Roman"/>
        </w:rPr>
        <w:t xml:space="preserve">tisak školskog godišnjaka, majice za učenike koji sudjeluju na kvizovima i programu mobilnosti </w:t>
      </w:r>
      <w:proofErr w:type="spellStart"/>
      <w:r w:rsidR="00E0596A" w:rsidRPr="00401B41">
        <w:rPr>
          <w:rFonts w:ascii="Times New Roman" w:hAnsi="Times New Roman" w:cs="Times New Roman"/>
        </w:rPr>
        <w:t>Erasmus</w:t>
      </w:r>
      <w:proofErr w:type="spellEnd"/>
      <w:r w:rsidR="00E0596A" w:rsidRPr="00401B41">
        <w:rPr>
          <w:rFonts w:ascii="Times New Roman" w:hAnsi="Times New Roman" w:cs="Times New Roman"/>
        </w:rPr>
        <w:t xml:space="preserve">, uređenje okoliša škole – cvijeće, usluge graviranja za učenike </w:t>
      </w:r>
      <w:r w:rsidR="00E574C4" w:rsidRPr="00401B41">
        <w:rPr>
          <w:rFonts w:ascii="Times New Roman" w:hAnsi="Times New Roman" w:cs="Times New Roman"/>
        </w:rPr>
        <w:t>koji su postigli rezultate na državnim natjecanjima.</w:t>
      </w:r>
    </w:p>
    <w:p w14:paraId="5BD56A45" w14:textId="77777777" w:rsidR="00401B41" w:rsidRPr="00401B41" w:rsidRDefault="00401B41" w:rsidP="00401B41">
      <w:pPr>
        <w:ind w:firstLine="708"/>
        <w:rPr>
          <w:rFonts w:ascii="Times New Roman" w:hAnsi="Times New Roman" w:cs="Times New Roman"/>
        </w:rPr>
      </w:pPr>
    </w:p>
    <w:p w14:paraId="7C31B429" w14:textId="3D32879D" w:rsidR="004364C5" w:rsidRDefault="004364C5" w:rsidP="00401B41">
      <w:pPr>
        <w:spacing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401B41">
        <w:rPr>
          <w:rFonts w:ascii="Times New Roman" w:hAnsi="Times New Roman" w:cs="Times New Roman"/>
          <w:u w:val="single"/>
        </w:rPr>
        <w:t>Reprezentacija 3293</w:t>
      </w:r>
      <w:r w:rsidRPr="00401B41">
        <w:rPr>
          <w:rFonts w:ascii="Times New Roman" w:hAnsi="Times New Roman" w:cs="Times New Roman"/>
        </w:rPr>
        <w:t xml:space="preserve"> – </w:t>
      </w:r>
      <w:r w:rsidR="00E574C4" w:rsidRPr="00401B41">
        <w:rPr>
          <w:rFonts w:ascii="Times New Roman" w:hAnsi="Times New Roman" w:cs="Times New Roman"/>
        </w:rPr>
        <w:t xml:space="preserve">bilježi se veliki porast </w:t>
      </w:r>
      <w:r w:rsidRPr="00401B41">
        <w:rPr>
          <w:rFonts w:ascii="Times New Roman" w:hAnsi="Times New Roman" w:cs="Times New Roman"/>
        </w:rPr>
        <w:t>rashod</w:t>
      </w:r>
      <w:r w:rsidR="00E574C4" w:rsidRPr="00401B41">
        <w:rPr>
          <w:rFonts w:ascii="Times New Roman" w:hAnsi="Times New Roman" w:cs="Times New Roman"/>
        </w:rPr>
        <w:t>a – 354 %</w:t>
      </w:r>
      <w:r w:rsidRPr="00401B41">
        <w:rPr>
          <w:rFonts w:ascii="Times New Roman" w:hAnsi="Times New Roman" w:cs="Times New Roman"/>
        </w:rPr>
        <w:t xml:space="preserve"> za ugošćavanje predavača, organizacije županijskih stručnih vijeća </w:t>
      </w:r>
      <w:r w:rsidR="00E35E8D" w:rsidRPr="00401B41">
        <w:rPr>
          <w:rFonts w:ascii="Times New Roman" w:hAnsi="Times New Roman" w:cs="Times New Roman"/>
        </w:rPr>
        <w:t xml:space="preserve"> i vijeća ravnatelja</w:t>
      </w:r>
      <w:r w:rsidR="00E574C4" w:rsidRPr="00401B41">
        <w:rPr>
          <w:rFonts w:ascii="Times New Roman" w:hAnsi="Times New Roman" w:cs="Times New Roman"/>
        </w:rPr>
        <w:t xml:space="preserve">, te najveći dio rashoda se odnosi na troškove  </w:t>
      </w:r>
      <w:r w:rsidR="00E574C4" w:rsidRPr="00401B41">
        <w:rPr>
          <w:rFonts w:ascii="Times New Roman" w:eastAsiaTheme="minorEastAsia" w:hAnsi="Times New Roman" w:cs="Times New Roman"/>
          <w:lang w:eastAsia="hr-HR"/>
        </w:rPr>
        <w:t>organizacije susreta partnerskih škola iz Senja i Otoka kojem je ove godine naša škola bila domaćin a koje su u eksperimentalnom  programu cjelodnevne škole.</w:t>
      </w:r>
    </w:p>
    <w:p w14:paraId="56895C70" w14:textId="77777777" w:rsidR="00401B41" w:rsidRPr="00401B41" w:rsidRDefault="00401B41" w:rsidP="00401B41">
      <w:pPr>
        <w:spacing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09298FF6" w14:textId="4F34F1F1" w:rsidR="00401B41" w:rsidRDefault="00E35E8D" w:rsidP="00401B4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Članarine i norme 3294 </w:t>
      </w:r>
      <w:r w:rsidR="00215486" w:rsidRPr="00401B41">
        <w:rPr>
          <w:rFonts w:ascii="Times New Roman" w:hAnsi="Times New Roman" w:cs="Times New Roman"/>
        </w:rPr>
        <w:t>–</w:t>
      </w:r>
      <w:r w:rsidRPr="00401B41">
        <w:rPr>
          <w:rFonts w:ascii="Times New Roman" w:hAnsi="Times New Roman" w:cs="Times New Roman"/>
        </w:rPr>
        <w:t xml:space="preserve"> </w:t>
      </w:r>
      <w:r w:rsidR="006629C3" w:rsidRPr="00401B41">
        <w:rPr>
          <w:rFonts w:ascii="Times New Roman" w:hAnsi="Times New Roman" w:cs="Times New Roman"/>
        </w:rPr>
        <w:t xml:space="preserve">bilježi se blagi porast troškova – 16 % u odnosu na 2024. godinu i to zbog porasta visine članarine udruge ravnatelja osnovnih škola, a ostatak troškova – članarine zajednice osnovnih škola je na razini kao i prošle godine. </w:t>
      </w:r>
    </w:p>
    <w:p w14:paraId="68B467C9" w14:textId="77777777" w:rsidR="00401B41" w:rsidRPr="00401B41" w:rsidRDefault="00401B41" w:rsidP="006629C3">
      <w:pPr>
        <w:ind w:firstLine="708"/>
        <w:rPr>
          <w:rFonts w:ascii="Times New Roman" w:hAnsi="Times New Roman" w:cs="Times New Roman"/>
        </w:rPr>
      </w:pPr>
    </w:p>
    <w:p w14:paraId="4C8BE762" w14:textId="7866C373" w:rsidR="00FB1C42" w:rsidRPr="00401B41" w:rsidRDefault="004364C5" w:rsidP="00B433FD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Pristojbe i naknade 3295</w:t>
      </w:r>
      <w:r w:rsidR="00FF6F8A" w:rsidRPr="00401B41">
        <w:rPr>
          <w:rFonts w:ascii="Times New Roman" w:hAnsi="Times New Roman" w:cs="Times New Roman"/>
          <w:u w:val="single"/>
        </w:rPr>
        <w:t xml:space="preserve"> </w:t>
      </w:r>
      <w:r w:rsidR="00FF6F8A" w:rsidRPr="00401B41">
        <w:rPr>
          <w:rFonts w:ascii="Times New Roman" w:hAnsi="Times New Roman" w:cs="Times New Roman"/>
        </w:rPr>
        <w:t xml:space="preserve">– </w:t>
      </w:r>
      <w:r w:rsidR="006629C3" w:rsidRPr="00401B41">
        <w:rPr>
          <w:rFonts w:ascii="Times New Roman" w:hAnsi="Times New Roman" w:cs="Times New Roman"/>
        </w:rPr>
        <w:t xml:space="preserve">u odnosu na 2024. godinu došlo je do smanjenja troškova naknade zbog nezapošljavanja invalida iz razloga što je zaposlen djelatnik (pomoćnik u nastavi) koji ima invaliditet, pa je naknada manja nego prošle godine. Također su smanjeni troškovi provjere diplome kojih je u 2024. godini bilo dvoje, a 2025. godine samo jedna. </w:t>
      </w:r>
    </w:p>
    <w:p w14:paraId="2BE7AFC1" w14:textId="1ADF55A1" w:rsidR="00FF6F8A" w:rsidRPr="00401B41" w:rsidRDefault="00FF6F8A" w:rsidP="00FB1C42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>Ostali nespomenuti rashodi poslovanja 3299</w:t>
      </w:r>
      <w:r w:rsidRPr="00401B41">
        <w:rPr>
          <w:rFonts w:ascii="Times New Roman" w:hAnsi="Times New Roman" w:cs="Times New Roman"/>
        </w:rPr>
        <w:t xml:space="preserve"> – </w:t>
      </w:r>
      <w:r w:rsidR="006629C3" w:rsidRPr="00401B41">
        <w:rPr>
          <w:rFonts w:ascii="Times New Roman" w:hAnsi="Times New Roman" w:cs="Times New Roman"/>
        </w:rPr>
        <w:t xml:space="preserve">bilježi se porast </w:t>
      </w:r>
      <w:r w:rsidRPr="00401B41">
        <w:rPr>
          <w:rFonts w:ascii="Times New Roman" w:hAnsi="Times New Roman" w:cs="Times New Roman"/>
        </w:rPr>
        <w:t xml:space="preserve"> rashoda</w:t>
      </w:r>
      <w:r w:rsidR="006629C3" w:rsidRPr="00401B41">
        <w:rPr>
          <w:rFonts w:ascii="Times New Roman" w:hAnsi="Times New Roman" w:cs="Times New Roman"/>
        </w:rPr>
        <w:t xml:space="preserve"> od 9 %</w:t>
      </w:r>
      <w:r w:rsidRPr="00401B41">
        <w:rPr>
          <w:rFonts w:ascii="Times New Roman" w:hAnsi="Times New Roman" w:cs="Times New Roman"/>
        </w:rPr>
        <w:t xml:space="preserve"> u 202</w:t>
      </w:r>
      <w:r w:rsidR="00D27CAD" w:rsidRPr="00401B41">
        <w:rPr>
          <w:rFonts w:ascii="Times New Roman" w:hAnsi="Times New Roman" w:cs="Times New Roman"/>
        </w:rPr>
        <w:t>5</w:t>
      </w:r>
      <w:r w:rsidRPr="00401B41">
        <w:rPr>
          <w:rFonts w:ascii="Times New Roman" w:hAnsi="Times New Roman" w:cs="Times New Roman"/>
        </w:rPr>
        <w:t>. godini</w:t>
      </w:r>
      <w:r w:rsidR="006629C3" w:rsidRPr="00401B41">
        <w:rPr>
          <w:rFonts w:ascii="Times New Roman" w:hAnsi="Times New Roman" w:cs="Times New Roman"/>
        </w:rPr>
        <w:t xml:space="preserve">, a isti se odnose na </w:t>
      </w:r>
      <w:r w:rsidRPr="00401B41">
        <w:rPr>
          <w:rFonts w:ascii="Times New Roman" w:hAnsi="Times New Roman" w:cs="Times New Roman"/>
        </w:rPr>
        <w:t>provedb</w:t>
      </w:r>
      <w:r w:rsidR="006629C3" w:rsidRPr="00401B41">
        <w:rPr>
          <w:rFonts w:ascii="Times New Roman" w:hAnsi="Times New Roman" w:cs="Times New Roman"/>
        </w:rPr>
        <w:t>u</w:t>
      </w:r>
      <w:r w:rsidRPr="00401B41">
        <w:rPr>
          <w:rFonts w:ascii="Times New Roman" w:hAnsi="Times New Roman" w:cs="Times New Roman"/>
        </w:rPr>
        <w:t xml:space="preserve"> projekta </w:t>
      </w:r>
      <w:proofErr w:type="spellStart"/>
      <w:r w:rsidRPr="00401B41">
        <w:rPr>
          <w:rFonts w:ascii="Times New Roman" w:hAnsi="Times New Roman" w:cs="Times New Roman"/>
        </w:rPr>
        <w:t>Erasmus</w:t>
      </w:r>
      <w:proofErr w:type="spellEnd"/>
      <w:r w:rsidR="00BA489F" w:rsidRPr="00401B41">
        <w:rPr>
          <w:rFonts w:ascii="Times New Roman" w:hAnsi="Times New Roman" w:cs="Times New Roman"/>
        </w:rPr>
        <w:t xml:space="preserve">+ KA1. </w:t>
      </w:r>
      <w:proofErr w:type="spellStart"/>
      <w:r w:rsidR="00BA489F" w:rsidRPr="00401B41">
        <w:rPr>
          <w:rFonts w:ascii="Times New Roman" w:hAnsi="Times New Roman" w:cs="Times New Roman"/>
        </w:rPr>
        <w:t>Erasmus</w:t>
      </w:r>
      <w:proofErr w:type="spellEnd"/>
      <w:r w:rsidR="00BA489F" w:rsidRPr="00401B41">
        <w:rPr>
          <w:rFonts w:ascii="Times New Roman" w:hAnsi="Times New Roman" w:cs="Times New Roman"/>
        </w:rPr>
        <w:t xml:space="preserve"> akreditacija osigurava školi sredstva na godišnjoj razini, a budući da provedba projekta nije vezana za kalendarsku godinu već za školsku</w:t>
      </w:r>
      <w:r w:rsidR="00FD0CE4" w:rsidRPr="00401B41">
        <w:rPr>
          <w:rFonts w:ascii="Times New Roman" w:hAnsi="Times New Roman" w:cs="Times New Roman"/>
        </w:rPr>
        <w:t xml:space="preserve">, sredstva se prenose iz godine u godinu. </w:t>
      </w:r>
      <w:r w:rsidR="00BA489F" w:rsidRPr="00401B41">
        <w:rPr>
          <w:rFonts w:ascii="Times New Roman" w:hAnsi="Times New Roman" w:cs="Times New Roman"/>
        </w:rPr>
        <w:t>Sredstva se troše na realizaciju</w:t>
      </w:r>
      <w:r w:rsidR="00FB1C42" w:rsidRPr="00401B41">
        <w:rPr>
          <w:rFonts w:ascii="Times New Roman" w:hAnsi="Times New Roman" w:cs="Times New Roman"/>
        </w:rPr>
        <w:t xml:space="preserve"> </w:t>
      </w:r>
      <w:r w:rsidR="00BA489F" w:rsidRPr="00401B41">
        <w:rPr>
          <w:rFonts w:ascii="Times New Roman" w:hAnsi="Times New Roman" w:cs="Times New Roman"/>
        </w:rPr>
        <w:t>mobilnosti u sklopu projekta te na troškove organizacije.</w:t>
      </w:r>
      <w:r w:rsidR="00846D6B" w:rsidRPr="00401B41">
        <w:rPr>
          <w:rFonts w:ascii="Times New Roman" w:hAnsi="Times New Roman" w:cs="Times New Roman"/>
        </w:rPr>
        <w:t xml:space="preserve"> Dio rashoda se odnosi i na provođenje aktivnosti eksperimentalnog programa cjelodnevne škole</w:t>
      </w:r>
      <w:r w:rsidR="00FD0CE4" w:rsidRPr="00401B41">
        <w:rPr>
          <w:rFonts w:ascii="Times New Roman" w:hAnsi="Times New Roman" w:cs="Times New Roman"/>
        </w:rPr>
        <w:t>, te rashode za nabavu certifikata za digitalni potpis dokumenata, troškove održavanja županijskih stručnih vijeća.</w:t>
      </w:r>
    </w:p>
    <w:p w14:paraId="04E4C766" w14:textId="101CC0A9" w:rsidR="00B433FD" w:rsidRDefault="00B433FD" w:rsidP="00FB1C42">
      <w:pPr>
        <w:ind w:firstLine="708"/>
        <w:rPr>
          <w:rFonts w:ascii="Times New Roman" w:hAnsi="Times New Roman" w:cs="Times New Roman"/>
        </w:rPr>
      </w:pPr>
    </w:p>
    <w:p w14:paraId="3A17CE10" w14:textId="3E491E45" w:rsidR="00401B41" w:rsidRDefault="00401B41" w:rsidP="00FB1C42">
      <w:pPr>
        <w:ind w:firstLine="708"/>
        <w:rPr>
          <w:rFonts w:ascii="Times New Roman" w:hAnsi="Times New Roman" w:cs="Times New Roman"/>
        </w:rPr>
      </w:pPr>
    </w:p>
    <w:p w14:paraId="161B0A78" w14:textId="266D696C" w:rsidR="00401B41" w:rsidRDefault="00401B41" w:rsidP="00FB1C42">
      <w:pPr>
        <w:ind w:firstLine="708"/>
        <w:rPr>
          <w:rFonts w:ascii="Times New Roman" w:hAnsi="Times New Roman" w:cs="Times New Roman"/>
        </w:rPr>
      </w:pPr>
    </w:p>
    <w:p w14:paraId="4E72272E" w14:textId="0C55EC7A" w:rsidR="00401B41" w:rsidRDefault="00401B41" w:rsidP="00FB1C42">
      <w:pPr>
        <w:ind w:firstLine="708"/>
        <w:rPr>
          <w:rFonts w:ascii="Times New Roman" w:hAnsi="Times New Roman" w:cs="Times New Roman"/>
        </w:rPr>
      </w:pPr>
    </w:p>
    <w:p w14:paraId="575DB2DA" w14:textId="40A32751" w:rsidR="00401B41" w:rsidRDefault="00401B41" w:rsidP="00FB1C42">
      <w:pPr>
        <w:ind w:firstLine="708"/>
        <w:rPr>
          <w:rFonts w:ascii="Times New Roman" w:hAnsi="Times New Roman" w:cs="Times New Roman"/>
        </w:rPr>
      </w:pPr>
    </w:p>
    <w:p w14:paraId="4E282B43" w14:textId="77777777" w:rsidR="00401B41" w:rsidRPr="00401B41" w:rsidRDefault="00401B41" w:rsidP="00FB1C42">
      <w:pPr>
        <w:ind w:firstLine="708"/>
        <w:rPr>
          <w:rFonts w:ascii="Times New Roman" w:hAnsi="Times New Roman" w:cs="Times New Roman"/>
        </w:rPr>
      </w:pPr>
    </w:p>
    <w:p w14:paraId="0F35FAE5" w14:textId="57C25996" w:rsidR="00BA489F" w:rsidRPr="00401B41" w:rsidRDefault="00BA489F" w:rsidP="00EE4C55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b/>
          <w:bCs/>
        </w:rPr>
        <w:t xml:space="preserve">Financijski rashodi 34 </w:t>
      </w:r>
      <w:r w:rsidR="00A22DA8" w:rsidRPr="00401B41">
        <w:rPr>
          <w:rFonts w:ascii="Times New Roman" w:hAnsi="Times New Roman" w:cs="Times New Roman"/>
        </w:rPr>
        <w:t xml:space="preserve"> u 202</w:t>
      </w:r>
      <w:r w:rsidR="00D27CAD" w:rsidRPr="00401B41">
        <w:rPr>
          <w:rFonts w:ascii="Times New Roman" w:hAnsi="Times New Roman" w:cs="Times New Roman"/>
        </w:rPr>
        <w:t>4</w:t>
      </w:r>
      <w:r w:rsidR="00A22DA8" w:rsidRPr="00401B41">
        <w:rPr>
          <w:rFonts w:ascii="Times New Roman" w:hAnsi="Times New Roman" w:cs="Times New Roman"/>
        </w:rPr>
        <w:t xml:space="preserve">. godini </w:t>
      </w:r>
      <w:r w:rsidR="00846D6B" w:rsidRPr="00401B41">
        <w:rPr>
          <w:rFonts w:ascii="Times New Roman" w:hAnsi="Times New Roman" w:cs="Times New Roman"/>
        </w:rPr>
        <w:t xml:space="preserve"> </w:t>
      </w:r>
      <w:r w:rsidR="00D27CAD" w:rsidRPr="00401B41">
        <w:rPr>
          <w:rFonts w:ascii="Times New Roman" w:hAnsi="Times New Roman" w:cs="Times New Roman"/>
        </w:rPr>
        <w:t>nisu ostvareni, a u 2025. godini su to zaostale kamate na račun za mobitele koji nije plaćen u roku dospijeća zbog problema sa slanjem e-računa, a politika Hrvatskog telekoma je takva da se kamata naplaćuje prilikom prve sljedeće naplate usluge za koju je kamata izdana, a obzirom da se radilo o nabavi mobilnih uređaja, kamate su fakturirane tek sada kada smo ugovorili isporuku novih mobitela.</w:t>
      </w:r>
    </w:p>
    <w:p w14:paraId="55F3BEE9" w14:textId="77777777" w:rsidR="00B433FD" w:rsidRPr="00401B41" w:rsidRDefault="00B433FD" w:rsidP="00EE4C55">
      <w:pPr>
        <w:ind w:firstLine="708"/>
        <w:rPr>
          <w:rFonts w:ascii="Times New Roman" w:hAnsi="Times New Roman" w:cs="Times New Roman"/>
        </w:rPr>
      </w:pPr>
    </w:p>
    <w:p w14:paraId="19D2974E" w14:textId="19651C0C" w:rsidR="00401B41" w:rsidRDefault="003B6982" w:rsidP="00EE6602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b/>
          <w:bCs/>
        </w:rPr>
        <w:t xml:space="preserve">Naknade građanima i kućanstvima na temelju osiguranja i druge naknade 37 </w:t>
      </w:r>
      <w:r w:rsidR="00FD0CE4" w:rsidRPr="00401B41">
        <w:rPr>
          <w:rFonts w:ascii="Times New Roman" w:hAnsi="Times New Roman" w:cs="Times New Roman"/>
          <w:b/>
          <w:bCs/>
        </w:rPr>
        <w:t xml:space="preserve">– </w:t>
      </w:r>
      <w:r w:rsidR="00FD0CE4" w:rsidRPr="00401B41">
        <w:rPr>
          <w:rFonts w:ascii="Times New Roman" w:hAnsi="Times New Roman" w:cs="Times New Roman"/>
        </w:rPr>
        <w:t xml:space="preserve">evidentirani su rashodi za nabavu radnog udžbenika, dok tog rashoda u 2024. nije bilo. </w:t>
      </w:r>
    </w:p>
    <w:p w14:paraId="7BA7368F" w14:textId="77777777" w:rsidR="00401B41" w:rsidRDefault="00401B41" w:rsidP="00411EE6">
      <w:pPr>
        <w:ind w:firstLine="708"/>
        <w:rPr>
          <w:rFonts w:ascii="Times New Roman" w:hAnsi="Times New Roman" w:cs="Times New Roman"/>
        </w:rPr>
      </w:pPr>
    </w:p>
    <w:p w14:paraId="58A29743" w14:textId="3F034628" w:rsidR="001538DD" w:rsidRPr="00401B41" w:rsidRDefault="001538DD" w:rsidP="00411EE6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b/>
          <w:bCs/>
        </w:rPr>
        <w:t xml:space="preserve">Rashodi za nabavu proizvedene dugotrajne imovine 42 </w:t>
      </w:r>
      <w:r w:rsidRPr="00401B41">
        <w:rPr>
          <w:rFonts w:ascii="Times New Roman" w:hAnsi="Times New Roman" w:cs="Times New Roman"/>
        </w:rPr>
        <w:t xml:space="preserve">realizirani su </w:t>
      </w:r>
      <w:r w:rsidR="004E1B59" w:rsidRPr="00401B41">
        <w:rPr>
          <w:rFonts w:ascii="Times New Roman" w:hAnsi="Times New Roman" w:cs="Times New Roman"/>
        </w:rPr>
        <w:t>19</w:t>
      </w:r>
      <w:r w:rsidR="008258FC" w:rsidRPr="00401B41">
        <w:rPr>
          <w:rFonts w:ascii="Times New Roman" w:hAnsi="Times New Roman" w:cs="Times New Roman"/>
        </w:rPr>
        <w:t xml:space="preserve"> </w:t>
      </w:r>
      <w:r w:rsidRPr="00401B41">
        <w:rPr>
          <w:rFonts w:ascii="Times New Roman" w:hAnsi="Times New Roman" w:cs="Times New Roman"/>
        </w:rPr>
        <w:t>% u 202</w:t>
      </w:r>
      <w:r w:rsidR="004E1B59" w:rsidRPr="00401B41">
        <w:rPr>
          <w:rFonts w:ascii="Times New Roman" w:hAnsi="Times New Roman" w:cs="Times New Roman"/>
        </w:rPr>
        <w:t>5</w:t>
      </w:r>
      <w:r w:rsidRPr="00401B41">
        <w:rPr>
          <w:rFonts w:ascii="Times New Roman" w:hAnsi="Times New Roman" w:cs="Times New Roman"/>
        </w:rPr>
        <w:t>. godini</w:t>
      </w:r>
      <w:r w:rsidR="004E1B59" w:rsidRPr="00401B41">
        <w:rPr>
          <w:rFonts w:ascii="Times New Roman" w:hAnsi="Times New Roman" w:cs="Times New Roman"/>
        </w:rPr>
        <w:t>, a odnose se na</w:t>
      </w:r>
      <w:r w:rsidRPr="00401B41">
        <w:rPr>
          <w:rFonts w:ascii="Times New Roman" w:hAnsi="Times New Roman" w:cs="Times New Roman"/>
        </w:rPr>
        <w:t>:</w:t>
      </w:r>
    </w:p>
    <w:p w14:paraId="3ED3CD6C" w14:textId="416801F8" w:rsidR="00322F3E" w:rsidRPr="00401B41" w:rsidRDefault="00322F3E" w:rsidP="00411EE6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 xml:space="preserve">Uređaji, strojevi i oprema za ostale namjene 4227 </w:t>
      </w:r>
      <w:r w:rsidRPr="00401B41">
        <w:rPr>
          <w:rFonts w:ascii="Times New Roman" w:hAnsi="Times New Roman" w:cs="Times New Roman"/>
        </w:rPr>
        <w:t xml:space="preserve">odnose se na </w:t>
      </w:r>
      <w:r w:rsidR="004E1B59" w:rsidRPr="00401B41">
        <w:rPr>
          <w:rFonts w:ascii="Times New Roman" w:hAnsi="Times New Roman" w:cs="Times New Roman"/>
        </w:rPr>
        <w:t>laserskog stroja za graviranje za potrebe provođenja B1 programa  - Robotike.</w:t>
      </w:r>
    </w:p>
    <w:p w14:paraId="1A0E234B" w14:textId="6BFE7803" w:rsidR="002F34B7" w:rsidRPr="00401B41" w:rsidRDefault="00322F3E" w:rsidP="00401B41">
      <w:pPr>
        <w:ind w:firstLine="708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  <w:u w:val="single"/>
        </w:rPr>
        <w:t xml:space="preserve">Knjige 4241 </w:t>
      </w:r>
      <w:r w:rsidRPr="00401B41">
        <w:rPr>
          <w:rFonts w:ascii="Times New Roman" w:hAnsi="Times New Roman" w:cs="Times New Roman"/>
        </w:rPr>
        <w:t xml:space="preserve"> u </w:t>
      </w:r>
      <w:r w:rsidR="004E1B59" w:rsidRPr="00401B41">
        <w:rPr>
          <w:rFonts w:ascii="Times New Roman" w:hAnsi="Times New Roman" w:cs="Times New Roman"/>
        </w:rPr>
        <w:t xml:space="preserve">2025. godini </w:t>
      </w:r>
      <w:r w:rsidRPr="00401B41">
        <w:rPr>
          <w:rFonts w:ascii="Times New Roman" w:hAnsi="Times New Roman" w:cs="Times New Roman"/>
        </w:rPr>
        <w:t xml:space="preserve"> </w:t>
      </w:r>
      <w:proofErr w:type="spellStart"/>
      <w:r w:rsidRPr="00401B41">
        <w:rPr>
          <w:rFonts w:ascii="Times New Roman" w:hAnsi="Times New Roman" w:cs="Times New Roman"/>
        </w:rPr>
        <w:t>godin</w:t>
      </w:r>
      <w:r w:rsidR="004E1B59" w:rsidRPr="00401B41">
        <w:rPr>
          <w:rFonts w:ascii="Times New Roman" w:hAnsi="Times New Roman" w:cs="Times New Roman"/>
        </w:rPr>
        <w:t>i</w:t>
      </w:r>
      <w:proofErr w:type="spellEnd"/>
      <w:r w:rsidRPr="00401B41">
        <w:rPr>
          <w:rFonts w:ascii="Times New Roman" w:hAnsi="Times New Roman" w:cs="Times New Roman"/>
        </w:rPr>
        <w:t xml:space="preserve"> se radi o nabavi udžbenika</w:t>
      </w:r>
      <w:r w:rsidR="004E1B59" w:rsidRPr="00401B41">
        <w:rPr>
          <w:rFonts w:ascii="Times New Roman" w:hAnsi="Times New Roman" w:cs="Times New Roman"/>
        </w:rPr>
        <w:t>, dok u 2024. godini ovih rashoda nije bilo.</w:t>
      </w:r>
    </w:p>
    <w:p w14:paraId="4927F192" w14:textId="014A9703" w:rsidR="002F34B7" w:rsidRPr="00401B41" w:rsidRDefault="002F34B7" w:rsidP="00401B41">
      <w:pPr>
        <w:rPr>
          <w:rFonts w:ascii="Times New Roman" w:hAnsi="Times New Roman" w:cs="Times New Roman"/>
          <w:b/>
          <w:bCs/>
        </w:rPr>
      </w:pPr>
    </w:p>
    <w:p w14:paraId="258FECE3" w14:textId="77777777" w:rsidR="00094A87" w:rsidRPr="00401B41" w:rsidRDefault="00094A87" w:rsidP="00411EE6">
      <w:pPr>
        <w:ind w:firstLine="708"/>
        <w:rPr>
          <w:rFonts w:ascii="Times New Roman" w:hAnsi="Times New Roman" w:cs="Times New Roman"/>
          <w:b/>
          <w:bCs/>
        </w:rPr>
      </w:pPr>
    </w:p>
    <w:p w14:paraId="73727E58" w14:textId="68D2FD41" w:rsidR="00B251FD" w:rsidRPr="00401B41" w:rsidRDefault="00143652" w:rsidP="00094A87">
      <w:pPr>
        <w:ind w:firstLine="708"/>
        <w:rPr>
          <w:rFonts w:ascii="Times New Roman" w:hAnsi="Times New Roman" w:cs="Times New Roman"/>
          <w:b/>
          <w:bCs/>
        </w:rPr>
      </w:pPr>
      <w:r w:rsidRPr="00401B41">
        <w:rPr>
          <w:rFonts w:ascii="Times New Roman" w:hAnsi="Times New Roman" w:cs="Times New Roman"/>
          <w:b/>
          <w:bCs/>
        </w:rPr>
        <w:t>2.1.3. Raspoloživa sredstva iz prethodnih godina</w:t>
      </w:r>
    </w:p>
    <w:p w14:paraId="1FFD2328" w14:textId="30D0D98F" w:rsidR="00E168BA" w:rsidRPr="00401B41" w:rsidRDefault="00143652" w:rsidP="00401B41">
      <w:pPr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Iz 202</w:t>
      </w:r>
      <w:r w:rsidR="004E1B59" w:rsidRPr="00401B41">
        <w:rPr>
          <w:rFonts w:ascii="Times New Roman" w:hAnsi="Times New Roman" w:cs="Times New Roman"/>
        </w:rPr>
        <w:t>4</w:t>
      </w:r>
      <w:r w:rsidRPr="00401B41">
        <w:rPr>
          <w:rFonts w:ascii="Times New Roman" w:hAnsi="Times New Roman" w:cs="Times New Roman"/>
        </w:rPr>
        <w:t xml:space="preserve">. godine prenesen je </w:t>
      </w:r>
      <w:r w:rsidR="007F04CB" w:rsidRPr="00401B41">
        <w:rPr>
          <w:rFonts w:ascii="Times New Roman" w:hAnsi="Times New Roman" w:cs="Times New Roman"/>
        </w:rPr>
        <w:t>višak</w:t>
      </w:r>
      <w:r w:rsidRPr="00401B41">
        <w:rPr>
          <w:rFonts w:ascii="Times New Roman" w:hAnsi="Times New Roman" w:cs="Times New Roman"/>
        </w:rPr>
        <w:t xml:space="preserve"> prihoda i primitaka u iznosu </w:t>
      </w:r>
      <w:r w:rsidR="004E1B59" w:rsidRPr="00401B41">
        <w:rPr>
          <w:rFonts w:ascii="Times New Roman" w:hAnsi="Times New Roman" w:cs="Times New Roman"/>
        </w:rPr>
        <w:t xml:space="preserve">45.150,39 </w:t>
      </w:r>
      <w:r w:rsidRPr="00401B41">
        <w:rPr>
          <w:rFonts w:ascii="Times New Roman" w:hAnsi="Times New Roman" w:cs="Times New Roman"/>
        </w:rPr>
        <w:t xml:space="preserve"> </w:t>
      </w:r>
      <w:r w:rsidR="00322F3E" w:rsidRPr="00401B41">
        <w:rPr>
          <w:rFonts w:ascii="Times New Roman" w:hAnsi="Times New Roman" w:cs="Times New Roman"/>
        </w:rPr>
        <w:t>eura</w:t>
      </w:r>
      <w:r w:rsidR="00E168BA" w:rsidRPr="00401B41">
        <w:rPr>
          <w:rFonts w:ascii="Times New Roman" w:hAnsi="Times New Roman" w:cs="Times New Roman"/>
        </w:rPr>
        <w:t>, a koji  su Odlukom o rasporedu rezultata za 2024. godinu prema izvorima financiranja evidentirani</w:t>
      </w:r>
      <w:r w:rsidR="00EE6602">
        <w:rPr>
          <w:rFonts w:ascii="Times New Roman" w:hAnsi="Times New Roman" w:cs="Times New Roman"/>
        </w:rPr>
        <w:t xml:space="preserve">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168BA" w:rsidRPr="00E168BA" w14:paraId="1CAFB278" w14:textId="77777777" w:rsidTr="00E168BA">
        <w:tc>
          <w:tcPr>
            <w:tcW w:w="3020" w:type="dxa"/>
          </w:tcPr>
          <w:p w14:paraId="67EDE2B8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Naziv</w:t>
            </w:r>
          </w:p>
        </w:tc>
        <w:tc>
          <w:tcPr>
            <w:tcW w:w="3020" w:type="dxa"/>
          </w:tcPr>
          <w:p w14:paraId="2C1F89FB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Izvor financiranja</w:t>
            </w:r>
          </w:p>
        </w:tc>
        <w:tc>
          <w:tcPr>
            <w:tcW w:w="3020" w:type="dxa"/>
          </w:tcPr>
          <w:p w14:paraId="50FD338E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Iznos</w:t>
            </w:r>
          </w:p>
        </w:tc>
      </w:tr>
      <w:tr w:rsidR="00E168BA" w:rsidRPr="00E168BA" w14:paraId="2CD16622" w14:textId="77777777" w:rsidTr="00E168BA">
        <w:tc>
          <w:tcPr>
            <w:tcW w:w="3020" w:type="dxa"/>
          </w:tcPr>
          <w:p w14:paraId="1B5E5DF1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 xml:space="preserve">Tekuće pomoći iz nenadležnih proračun </w:t>
            </w:r>
          </w:p>
        </w:tc>
        <w:tc>
          <w:tcPr>
            <w:tcW w:w="3020" w:type="dxa"/>
          </w:tcPr>
          <w:p w14:paraId="0E46B0CF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5502</w:t>
            </w:r>
          </w:p>
        </w:tc>
        <w:tc>
          <w:tcPr>
            <w:tcW w:w="3020" w:type="dxa"/>
          </w:tcPr>
          <w:p w14:paraId="48F9A8E6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61.221,77</w:t>
            </w:r>
          </w:p>
        </w:tc>
      </w:tr>
      <w:tr w:rsidR="00E168BA" w:rsidRPr="00E168BA" w14:paraId="3027D1D5" w14:textId="77777777" w:rsidTr="00E168BA">
        <w:tc>
          <w:tcPr>
            <w:tcW w:w="3020" w:type="dxa"/>
          </w:tcPr>
          <w:p w14:paraId="7847F360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 xml:space="preserve">Tekuće pomoći iz državnog proračuna – EU sredstva </w:t>
            </w:r>
          </w:p>
        </w:tc>
        <w:tc>
          <w:tcPr>
            <w:tcW w:w="3020" w:type="dxa"/>
          </w:tcPr>
          <w:p w14:paraId="7B509F96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5504</w:t>
            </w:r>
          </w:p>
        </w:tc>
        <w:tc>
          <w:tcPr>
            <w:tcW w:w="3020" w:type="dxa"/>
          </w:tcPr>
          <w:p w14:paraId="5F07251E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22.520,00</w:t>
            </w:r>
          </w:p>
        </w:tc>
      </w:tr>
      <w:tr w:rsidR="00E168BA" w:rsidRPr="00E168BA" w14:paraId="0CF5FFDB" w14:textId="77777777" w:rsidTr="00E168BA">
        <w:tc>
          <w:tcPr>
            <w:tcW w:w="3020" w:type="dxa"/>
          </w:tcPr>
          <w:p w14:paraId="02A99B5E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Prihod za posebne namjene</w:t>
            </w:r>
          </w:p>
        </w:tc>
        <w:tc>
          <w:tcPr>
            <w:tcW w:w="3020" w:type="dxa"/>
          </w:tcPr>
          <w:p w14:paraId="3FBA2776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4232</w:t>
            </w:r>
          </w:p>
        </w:tc>
        <w:tc>
          <w:tcPr>
            <w:tcW w:w="3020" w:type="dxa"/>
          </w:tcPr>
          <w:p w14:paraId="6388AA31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3.269,01</w:t>
            </w:r>
          </w:p>
        </w:tc>
      </w:tr>
      <w:tr w:rsidR="00E168BA" w:rsidRPr="00E168BA" w14:paraId="091054BD" w14:textId="77777777" w:rsidTr="00E168BA">
        <w:tc>
          <w:tcPr>
            <w:tcW w:w="3020" w:type="dxa"/>
          </w:tcPr>
          <w:p w14:paraId="5465372B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Tekuće donacije proračunskih korisnika</w:t>
            </w:r>
          </w:p>
        </w:tc>
        <w:tc>
          <w:tcPr>
            <w:tcW w:w="3020" w:type="dxa"/>
          </w:tcPr>
          <w:p w14:paraId="4A0258D1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6201</w:t>
            </w:r>
          </w:p>
        </w:tc>
        <w:tc>
          <w:tcPr>
            <w:tcW w:w="3020" w:type="dxa"/>
          </w:tcPr>
          <w:p w14:paraId="57162EDA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343,30</w:t>
            </w:r>
          </w:p>
        </w:tc>
      </w:tr>
      <w:tr w:rsidR="00E168BA" w:rsidRPr="00E168BA" w14:paraId="4A9FE62F" w14:textId="77777777" w:rsidTr="00E168BA">
        <w:tc>
          <w:tcPr>
            <w:tcW w:w="3020" w:type="dxa"/>
          </w:tcPr>
          <w:p w14:paraId="7484660F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Opći prihodi i primici</w:t>
            </w:r>
          </w:p>
        </w:tc>
        <w:tc>
          <w:tcPr>
            <w:tcW w:w="3020" w:type="dxa"/>
          </w:tcPr>
          <w:p w14:paraId="164C34DA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1101</w:t>
            </w:r>
          </w:p>
        </w:tc>
        <w:tc>
          <w:tcPr>
            <w:tcW w:w="3020" w:type="dxa"/>
          </w:tcPr>
          <w:p w14:paraId="04945C27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32.397,87</w:t>
            </w:r>
          </w:p>
        </w:tc>
      </w:tr>
      <w:tr w:rsidR="00E168BA" w:rsidRPr="00E168BA" w14:paraId="204CDA6E" w14:textId="77777777" w:rsidTr="00E168BA">
        <w:tc>
          <w:tcPr>
            <w:tcW w:w="3020" w:type="dxa"/>
          </w:tcPr>
          <w:p w14:paraId="734E84BE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Prihod za posebne namjene – školska kuhinja</w:t>
            </w:r>
          </w:p>
        </w:tc>
        <w:tc>
          <w:tcPr>
            <w:tcW w:w="3020" w:type="dxa"/>
          </w:tcPr>
          <w:p w14:paraId="26476DE7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4232</w:t>
            </w:r>
          </w:p>
        </w:tc>
        <w:tc>
          <w:tcPr>
            <w:tcW w:w="3020" w:type="dxa"/>
          </w:tcPr>
          <w:p w14:paraId="1D4FFA95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75,00</w:t>
            </w:r>
          </w:p>
        </w:tc>
      </w:tr>
      <w:tr w:rsidR="00E168BA" w:rsidRPr="00E168BA" w14:paraId="3C68944D" w14:textId="77777777" w:rsidTr="00E168BA">
        <w:tc>
          <w:tcPr>
            <w:tcW w:w="3020" w:type="dxa"/>
          </w:tcPr>
          <w:p w14:paraId="3F647F8F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Pomoći izravnanja - školstvo</w:t>
            </w:r>
          </w:p>
        </w:tc>
        <w:tc>
          <w:tcPr>
            <w:tcW w:w="3020" w:type="dxa"/>
          </w:tcPr>
          <w:p w14:paraId="0D7E6360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5101</w:t>
            </w:r>
          </w:p>
        </w:tc>
        <w:tc>
          <w:tcPr>
            <w:tcW w:w="3020" w:type="dxa"/>
          </w:tcPr>
          <w:p w14:paraId="44B705DC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1.398,16</w:t>
            </w:r>
          </w:p>
        </w:tc>
      </w:tr>
      <w:tr w:rsidR="00E168BA" w:rsidRPr="00E168BA" w14:paraId="0DDB46AF" w14:textId="77777777" w:rsidTr="00E168BA">
        <w:tc>
          <w:tcPr>
            <w:tcW w:w="3020" w:type="dxa"/>
          </w:tcPr>
          <w:p w14:paraId="130E1D7A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Tekuće pomoći – nacionalno sufinanciranje</w:t>
            </w:r>
          </w:p>
        </w:tc>
        <w:tc>
          <w:tcPr>
            <w:tcW w:w="3020" w:type="dxa"/>
          </w:tcPr>
          <w:p w14:paraId="1F8D7A15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5107</w:t>
            </w:r>
          </w:p>
        </w:tc>
        <w:tc>
          <w:tcPr>
            <w:tcW w:w="3020" w:type="dxa"/>
          </w:tcPr>
          <w:p w14:paraId="11914A47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446,26</w:t>
            </w:r>
          </w:p>
        </w:tc>
      </w:tr>
      <w:tr w:rsidR="00E168BA" w:rsidRPr="00E168BA" w14:paraId="09EF6A15" w14:textId="77777777" w:rsidTr="00E168BA">
        <w:tc>
          <w:tcPr>
            <w:tcW w:w="3020" w:type="dxa"/>
          </w:tcPr>
          <w:p w14:paraId="30336697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Tekuće pomoći – nacionalno sufinanciranje Odjek VII</w:t>
            </w:r>
          </w:p>
        </w:tc>
        <w:tc>
          <w:tcPr>
            <w:tcW w:w="3020" w:type="dxa"/>
          </w:tcPr>
          <w:p w14:paraId="3EF37F7B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5110</w:t>
            </w:r>
          </w:p>
        </w:tc>
        <w:tc>
          <w:tcPr>
            <w:tcW w:w="3020" w:type="dxa"/>
          </w:tcPr>
          <w:p w14:paraId="1E6E563F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444,43</w:t>
            </w:r>
          </w:p>
        </w:tc>
      </w:tr>
      <w:tr w:rsidR="00E168BA" w:rsidRPr="00E168BA" w14:paraId="6A2DAEB4" w14:textId="77777777" w:rsidTr="00E168BA">
        <w:tc>
          <w:tcPr>
            <w:tcW w:w="3020" w:type="dxa"/>
          </w:tcPr>
          <w:p w14:paraId="40C56E23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EU Odjek VII</w:t>
            </w:r>
          </w:p>
        </w:tc>
        <w:tc>
          <w:tcPr>
            <w:tcW w:w="3020" w:type="dxa"/>
          </w:tcPr>
          <w:p w14:paraId="711F0BA1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5307</w:t>
            </w:r>
          </w:p>
        </w:tc>
        <w:tc>
          <w:tcPr>
            <w:tcW w:w="3020" w:type="dxa"/>
          </w:tcPr>
          <w:p w14:paraId="4F0E144D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2.518,41</w:t>
            </w:r>
          </w:p>
        </w:tc>
      </w:tr>
      <w:tr w:rsidR="00E168BA" w:rsidRPr="00E168BA" w14:paraId="71EF4553" w14:textId="77777777" w:rsidTr="00E168BA">
        <w:tc>
          <w:tcPr>
            <w:tcW w:w="3020" w:type="dxa"/>
          </w:tcPr>
          <w:p w14:paraId="75941C55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Tekuće pomoći iz nenadležnih proračuna</w:t>
            </w:r>
          </w:p>
        </w:tc>
        <w:tc>
          <w:tcPr>
            <w:tcW w:w="3020" w:type="dxa"/>
          </w:tcPr>
          <w:p w14:paraId="4E0FED20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5502</w:t>
            </w:r>
          </w:p>
        </w:tc>
        <w:tc>
          <w:tcPr>
            <w:tcW w:w="3020" w:type="dxa"/>
          </w:tcPr>
          <w:p w14:paraId="5408D564" w14:textId="77777777" w:rsidR="00E168BA" w:rsidRPr="00E168BA" w:rsidRDefault="00E168BA" w:rsidP="00E168BA">
            <w:pPr>
              <w:spacing w:line="259" w:lineRule="auto"/>
              <w:rPr>
                <w:sz w:val="22"/>
                <w:szCs w:val="22"/>
              </w:rPr>
            </w:pPr>
            <w:r w:rsidRPr="00E168BA">
              <w:rPr>
                <w:sz w:val="22"/>
                <w:szCs w:val="22"/>
              </w:rPr>
              <w:t>4.923,56</w:t>
            </w:r>
          </w:p>
        </w:tc>
      </w:tr>
    </w:tbl>
    <w:p w14:paraId="26323839" w14:textId="5F4881A1" w:rsidR="00B251FD" w:rsidRPr="00401B41" w:rsidRDefault="00B251FD" w:rsidP="00094A87">
      <w:pPr>
        <w:jc w:val="both"/>
        <w:rPr>
          <w:rFonts w:ascii="Times New Roman" w:hAnsi="Times New Roman" w:cs="Times New Roman"/>
        </w:rPr>
      </w:pPr>
    </w:p>
    <w:p w14:paraId="72D2E9E3" w14:textId="77777777" w:rsidR="00401B41" w:rsidRDefault="00401B41" w:rsidP="00023761">
      <w:pPr>
        <w:ind w:firstLine="708"/>
        <w:jc w:val="both"/>
        <w:rPr>
          <w:rFonts w:ascii="Times New Roman" w:hAnsi="Times New Roman" w:cs="Times New Roman"/>
        </w:rPr>
      </w:pPr>
    </w:p>
    <w:p w14:paraId="2AF510EC" w14:textId="77777777" w:rsidR="00401B41" w:rsidRDefault="00401B41" w:rsidP="00023761">
      <w:pPr>
        <w:ind w:firstLine="708"/>
        <w:jc w:val="both"/>
        <w:rPr>
          <w:rFonts w:ascii="Times New Roman" w:hAnsi="Times New Roman" w:cs="Times New Roman"/>
        </w:rPr>
      </w:pPr>
    </w:p>
    <w:p w14:paraId="369AF729" w14:textId="77777777" w:rsidR="00401B41" w:rsidRDefault="00401B41" w:rsidP="00023761">
      <w:pPr>
        <w:ind w:firstLine="708"/>
        <w:jc w:val="both"/>
        <w:rPr>
          <w:rFonts w:ascii="Times New Roman" w:hAnsi="Times New Roman" w:cs="Times New Roman"/>
        </w:rPr>
      </w:pPr>
    </w:p>
    <w:p w14:paraId="7BA1ED21" w14:textId="1696E9FB" w:rsidR="00E168BA" w:rsidRPr="00401B41" w:rsidRDefault="00E168BA" w:rsidP="00023761">
      <w:pPr>
        <w:ind w:firstLine="708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Viškovi su ostvareni iz prihoda za  provedbu eksperimentalnog programa i projekta </w:t>
      </w:r>
      <w:proofErr w:type="spellStart"/>
      <w:r w:rsidRPr="00401B41">
        <w:rPr>
          <w:rFonts w:ascii="Times New Roman" w:hAnsi="Times New Roman" w:cs="Times New Roman"/>
        </w:rPr>
        <w:t>Erasmus</w:t>
      </w:r>
      <w:proofErr w:type="spellEnd"/>
      <w:r w:rsidRPr="00401B41">
        <w:rPr>
          <w:rFonts w:ascii="Times New Roman" w:hAnsi="Times New Roman" w:cs="Times New Roman"/>
        </w:rPr>
        <w:t>+</w:t>
      </w:r>
      <w:r w:rsidR="00462622" w:rsidRPr="00401B41">
        <w:rPr>
          <w:rFonts w:ascii="Times New Roman" w:hAnsi="Times New Roman" w:cs="Times New Roman"/>
        </w:rPr>
        <w:t>, uplate roditelja za školsku kuhinju, neutrošen</w:t>
      </w:r>
      <w:r w:rsidR="002E4D30" w:rsidRPr="00401B41">
        <w:rPr>
          <w:rFonts w:ascii="Times New Roman" w:hAnsi="Times New Roman" w:cs="Times New Roman"/>
        </w:rPr>
        <w:t>ih</w:t>
      </w:r>
      <w:r w:rsidR="00462622" w:rsidRPr="00401B41">
        <w:rPr>
          <w:rFonts w:ascii="Times New Roman" w:hAnsi="Times New Roman" w:cs="Times New Roman"/>
        </w:rPr>
        <w:t xml:space="preserve"> sredstva voditelja Županijskih stručnih vijeća, donacije </w:t>
      </w:r>
      <w:proofErr w:type="spellStart"/>
      <w:r w:rsidR="00462622" w:rsidRPr="00401B41">
        <w:rPr>
          <w:rFonts w:ascii="Times New Roman" w:hAnsi="Times New Roman" w:cs="Times New Roman"/>
        </w:rPr>
        <w:t>Euroherc</w:t>
      </w:r>
      <w:proofErr w:type="spellEnd"/>
      <w:r w:rsidR="00462622" w:rsidRPr="00401B41">
        <w:rPr>
          <w:rFonts w:ascii="Times New Roman" w:hAnsi="Times New Roman" w:cs="Times New Roman"/>
        </w:rPr>
        <w:t xml:space="preserve"> osiguranja i viška neutrošenih sredstava za provođenje eksperimentalnog programa cjelodnevne škole. </w:t>
      </w:r>
    </w:p>
    <w:p w14:paraId="35DDDA8F" w14:textId="78374AD9" w:rsidR="00462622" w:rsidRPr="00401B41" w:rsidRDefault="00462622" w:rsidP="00023761">
      <w:pPr>
        <w:ind w:firstLine="708"/>
        <w:jc w:val="both"/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 xml:space="preserve">Manjkovi su ostvareni iz nedostatnih prihoda za plaće pomoćnika u nastavi Odjek VII i to sva 3 izvora financiranja (Grad Koprivnica, nacionalno sufinanciranje i EU sredstva), manjak prihoda za školsku kuhinju, nabavu udžbenika, produženi boravak (dug roditelja iz 2022. godine), manjak nadležnog proračuna i decentraliziranih sredstva. Svi manjkovi (osim </w:t>
      </w:r>
      <w:r w:rsidR="00321A21">
        <w:rPr>
          <w:rFonts w:ascii="Times New Roman" w:hAnsi="Times New Roman" w:cs="Times New Roman"/>
        </w:rPr>
        <w:t xml:space="preserve">duga </w:t>
      </w:r>
      <w:r w:rsidRPr="00401B41">
        <w:rPr>
          <w:rFonts w:ascii="Times New Roman" w:hAnsi="Times New Roman" w:cs="Times New Roman"/>
        </w:rPr>
        <w:t xml:space="preserve">za produženi boravak) su metodološki manjkovi koji su pokriveni u trenutku plaćanja računa </w:t>
      </w:r>
      <w:r w:rsidR="002E4D30" w:rsidRPr="00401B41">
        <w:rPr>
          <w:rFonts w:ascii="Times New Roman" w:hAnsi="Times New Roman" w:cs="Times New Roman"/>
        </w:rPr>
        <w:t>– računi iz 2024. plaćeni u siječnju 2025.</w:t>
      </w:r>
    </w:p>
    <w:p w14:paraId="3C49E24A" w14:textId="797B09E5" w:rsidR="00401B41" w:rsidRDefault="00401B41" w:rsidP="00023761">
      <w:pPr>
        <w:ind w:firstLine="708"/>
        <w:rPr>
          <w:rFonts w:ascii="Times New Roman" w:hAnsi="Times New Roman" w:cs="Times New Roman"/>
        </w:rPr>
      </w:pPr>
    </w:p>
    <w:p w14:paraId="00378E4E" w14:textId="6E5B0067" w:rsidR="00401B41" w:rsidRDefault="00401B41" w:rsidP="00023761">
      <w:pPr>
        <w:ind w:firstLine="708"/>
        <w:rPr>
          <w:rFonts w:ascii="Times New Roman" w:hAnsi="Times New Roman" w:cs="Times New Roman"/>
        </w:rPr>
      </w:pPr>
    </w:p>
    <w:p w14:paraId="342B66DB" w14:textId="77777777" w:rsidR="00401B41" w:rsidRPr="00401B41" w:rsidRDefault="00401B41" w:rsidP="00023761">
      <w:pPr>
        <w:ind w:firstLine="708"/>
        <w:rPr>
          <w:rFonts w:ascii="Times New Roman" w:hAnsi="Times New Roman" w:cs="Times New Roman"/>
        </w:rPr>
      </w:pPr>
    </w:p>
    <w:p w14:paraId="0D17C4B7" w14:textId="0B6DE65C" w:rsidR="00720822" w:rsidRPr="00401B41" w:rsidRDefault="00401B41" w:rsidP="00772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720822" w:rsidRPr="00401B41">
        <w:rPr>
          <w:rFonts w:ascii="Times New Roman" w:hAnsi="Times New Roman" w:cs="Times New Roman"/>
        </w:rPr>
        <w:t>Izradila:</w:t>
      </w:r>
      <w:r w:rsidR="00720822" w:rsidRPr="00401B41">
        <w:rPr>
          <w:rFonts w:ascii="Times New Roman" w:hAnsi="Times New Roman" w:cs="Times New Roman"/>
        </w:rPr>
        <w:tab/>
      </w:r>
      <w:r w:rsidR="00CC5D11" w:rsidRPr="00401B41">
        <w:rPr>
          <w:rFonts w:ascii="Times New Roman" w:hAnsi="Times New Roman" w:cs="Times New Roman"/>
        </w:rPr>
        <w:t xml:space="preserve">              </w:t>
      </w:r>
      <w:r w:rsidR="00720822" w:rsidRPr="00401B41">
        <w:rPr>
          <w:rFonts w:ascii="Times New Roman" w:hAnsi="Times New Roman" w:cs="Times New Roman"/>
        </w:rPr>
        <w:tab/>
      </w:r>
      <w:r w:rsidR="00720822" w:rsidRPr="00401B41">
        <w:rPr>
          <w:rFonts w:ascii="Times New Roman" w:hAnsi="Times New Roman" w:cs="Times New Roman"/>
        </w:rPr>
        <w:tab/>
      </w:r>
      <w:r w:rsidR="00720822" w:rsidRPr="00401B41">
        <w:rPr>
          <w:rFonts w:ascii="Times New Roman" w:hAnsi="Times New Roman" w:cs="Times New Roman"/>
        </w:rPr>
        <w:tab/>
      </w:r>
      <w:r w:rsidR="00720822" w:rsidRPr="00401B41">
        <w:rPr>
          <w:rFonts w:ascii="Times New Roman" w:hAnsi="Times New Roman" w:cs="Times New Roman"/>
        </w:rPr>
        <w:tab/>
      </w:r>
      <w:r w:rsidR="00720822" w:rsidRPr="00401B41">
        <w:rPr>
          <w:rFonts w:ascii="Times New Roman" w:hAnsi="Times New Roman" w:cs="Times New Roman"/>
        </w:rPr>
        <w:tab/>
        <w:t>Ravnateljica:</w:t>
      </w:r>
    </w:p>
    <w:p w14:paraId="63E26783" w14:textId="5C92EC80" w:rsidR="00720822" w:rsidRPr="00401B41" w:rsidRDefault="00720822" w:rsidP="007726DC">
      <w:pPr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Voditeljica računovodstva</w:t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="00471C78" w:rsidRPr="00401B41">
        <w:rPr>
          <w:rFonts w:ascii="Times New Roman" w:hAnsi="Times New Roman" w:cs="Times New Roman"/>
        </w:rPr>
        <w:t xml:space="preserve">Helena Knežević, </w:t>
      </w:r>
      <w:proofErr w:type="spellStart"/>
      <w:r w:rsidR="00471C78" w:rsidRPr="00401B41">
        <w:rPr>
          <w:rFonts w:ascii="Times New Roman" w:hAnsi="Times New Roman" w:cs="Times New Roman"/>
        </w:rPr>
        <w:t>mag.educ.philol.angl</w:t>
      </w:r>
      <w:proofErr w:type="spellEnd"/>
      <w:r w:rsidR="00471C78" w:rsidRPr="00401B41">
        <w:rPr>
          <w:rFonts w:ascii="Times New Roman" w:hAnsi="Times New Roman" w:cs="Times New Roman"/>
        </w:rPr>
        <w:t>.</w:t>
      </w:r>
    </w:p>
    <w:p w14:paraId="7FA9EDEB" w14:textId="25F850E9" w:rsidR="00720822" w:rsidRPr="00401B41" w:rsidRDefault="00471C78" w:rsidP="007726DC">
      <w:pPr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>Valentina Markić, viši ekonomist</w:t>
      </w:r>
    </w:p>
    <w:p w14:paraId="35194EB4" w14:textId="77777777" w:rsidR="00720822" w:rsidRPr="00401B41" w:rsidRDefault="00720822" w:rsidP="007726DC">
      <w:pPr>
        <w:rPr>
          <w:rFonts w:ascii="Times New Roman" w:hAnsi="Times New Roman" w:cs="Times New Roman"/>
        </w:rPr>
      </w:pPr>
    </w:p>
    <w:p w14:paraId="26ED0C76" w14:textId="401FD3AC" w:rsidR="00F62908" w:rsidRPr="00401B41" w:rsidRDefault="00D8153F">
      <w:pPr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="002F34B7" w:rsidRPr="00401B41">
        <w:rPr>
          <w:rFonts w:ascii="Times New Roman" w:hAnsi="Times New Roman" w:cs="Times New Roman"/>
        </w:rPr>
        <w:t>Zamjenik p</w:t>
      </w:r>
      <w:r w:rsidRPr="00401B41">
        <w:rPr>
          <w:rFonts w:ascii="Times New Roman" w:hAnsi="Times New Roman" w:cs="Times New Roman"/>
        </w:rPr>
        <w:t>redsjedni</w:t>
      </w:r>
      <w:r w:rsidR="00471C78" w:rsidRPr="00401B41">
        <w:rPr>
          <w:rFonts w:ascii="Times New Roman" w:hAnsi="Times New Roman" w:cs="Times New Roman"/>
        </w:rPr>
        <w:t>k</w:t>
      </w:r>
      <w:r w:rsidR="002F34B7" w:rsidRPr="00401B41">
        <w:rPr>
          <w:rFonts w:ascii="Times New Roman" w:hAnsi="Times New Roman" w:cs="Times New Roman"/>
        </w:rPr>
        <w:t>a</w:t>
      </w:r>
      <w:r w:rsidRPr="00401B41">
        <w:rPr>
          <w:rFonts w:ascii="Times New Roman" w:hAnsi="Times New Roman" w:cs="Times New Roman"/>
        </w:rPr>
        <w:t xml:space="preserve"> Školskog odbora:</w:t>
      </w:r>
    </w:p>
    <w:p w14:paraId="22DB3D65" w14:textId="005010BB" w:rsidR="00471C78" w:rsidRPr="00401B41" w:rsidRDefault="00471C78">
      <w:pPr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="002F34B7" w:rsidRPr="00401B41">
        <w:rPr>
          <w:rFonts w:ascii="Times New Roman" w:hAnsi="Times New Roman" w:cs="Times New Roman"/>
        </w:rPr>
        <w:t xml:space="preserve">Dario </w:t>
      </w:r>
      <w:proofErr w:type="spellStart"/>
      <w:r w:rsidR="002F34B7" w:rsidRPr="00401B41">
        <w:rPr>
          <w:rFonts w:ascii="Times New Roman" w:hAnsi="Times New Roman" w:cs="Times New Roman"/>
        </w:rPr>
        <w:t>Jembrek</w:t>
      </w:r>
      <w:proofErr w:type="spellEnd"/>
      <w:r w:rsidR="002F34B7" w:rsidRPr="00401B41">
        <w:rPr>
          <w:rFonts w:ascii="Times New Roman" w:hAnsi="Times New Roman" w:cs="Times New Roman"/>
        </w:rPr>
        <w:t xml:space="preserve">, </w:t>
      </w:r>
      <w:proofErr w:type="spellStart"/>
      <w:r w:rsidR="002F34B7" w:rsidRPr="00401B41">
        <w:rPr>
          <w:rFonts w:ascii="Times New Roman" w:hAnsi="Times New Roman" w:cs="Times New Roman"/>
        </w:rPr>
        <w:t>dipl.ing.el</w:t>
      </w:r>
      <w:proofErr w:type="spellEnd"/>
      <w:r w:rsidR="002F34B7" w:rsidRPr="00401B41">
        <w:rPr>
          <w:rFonts w:ascii="Times New Roman" w:hAnsi="Times New Roman" w:cs="Times New Roman"/>
        </w:rPr>
        <w:t>.</w:t>
      </w:r>
    </w:p>
    <w:p w14:paraId="4CC2702E" w14:textId="64CC53E6" w:rsidR="00D8153F" w:rsidRPr="00401B41" w:rsidRDefault="00D8153F">
      <w:pPr>
        <w:rPr>
          <w:rFonts w:ascii="Times New Roman" w:hAnsi="Times New Roman" w:cs="Times New Roman"/>
        </w:rPr>
      </w:pP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  <w:r w:rsidRPr="00401B41">
        <w:rPr>
          <w:rFonts w:ascii="Times New Roman" w:hAnsi="Times New Roman" w:cs="Times New Roman"/>
        </w:rPr>
        <w:tab/>
      </w:r>
    </w:p>
    <w:p w14:paraId="6F03BFC4" w14:textId="6089ED86" w:rsidR="00B44D4C" w:rsidRPr="00401B41" w:rsidRDefault="00B44D4C">
      <w:pPr>
        <w:rPr>
          <w:rFonts w:ascii="Times New Roman" w:hAnsi="Times New Roman" w:cs="Times New Roman"/>
        </w:rPr>
      </w:pPr>
    </w:p>
    <w:sectPr w:rsidR="00B44D4C" w:rsidRPr="00401B41" w:rsidSect="003E6203">
      <w:footerReference w:type="default" r:id="rId9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7324E" w14:textId="77777777" w:rsidR="00FD2ADC" w:rsidRDefault="00FD2ADC" w:rsidP="00A34C51">
      <w:pPr>
        <w:spacing w:after="0" w:line="240" w:lineRule="auto"/>
      </w:pPr>
      <w:r>
        <w:separator/>
      </w:r>
    </w:p>
  </w:endnote>
  <w:endnote w:type="continuationSeparator" w:id="0">
    <w:p w14:paraId="2C536708" w14:textId="77777777" w:rsidR="00FD2ADC" w:rsidRDefault="00FD2ADC" w:rsidP="00A3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A28F5" w14:textId="77777777" w:rsidR="00F16DF4" w:rsidRDefault="00F16DF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5DAB1" w14:textId="77777777" w:rsidR="00FD2ADC" w:rsidRDefault="00FD2ADC" w:rsidP="00A34C51">
      <w:pPr>
        <w:spacing w:after="0" w:line="240" w:lineRule="auto"/>
      </w:pPr>
      <w:r>
        <w:separator/>
      </w:r>
    </w:p>
  </w:footnote>
  <w:footnote w:type="continuationSeparator" w:id="0">
    <w:p w14:paraId="24AA04B0" w14:textId="77777777" w:rsidR="00FD2ADC" w:rsidRDefault="00FD2ADC" w:rsidP="00A34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 w15:restartNumberingAfterBreak="0">
    <w:nsid w:val="0C5D6D6E"/>
    <w:multiLevelType w:val="hybridMultilevel"/>
    <w:tmpl w:val="44C21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0AB3"/>
    <w:multiLevelType w:val="hybridMultilevel"/>
    <w:tmpl w:val="E586E1EA"/>
    <w:lvl w:ilvl="0" w:tplc="9E2C8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41B75"/>
    <w:multiLevelType w:val="hybridMultilevel"/>
    <w:tmpl w:val="5ED452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96462"/>
    <w:multiLevelType w:val="multilevel"/>
    <w:tmpl w:val="7C96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4C"/>
    <w:rsid w:val="00002289"/>
    <w:rsid w:val="00010F36"/>
    <w:rsid w:val="000130D4"/>
    <w:rsid w:val="00023761"/>
    <w:rsid w:val="00035D72"/>
    <w:rsid w:val="00047E01"/>
    <w:rsid w:val="00055030"/>
    <w:rsid w:val="00062D98"/>
    <w:rsid w:val="00064BE9"/>
    <w:rsid w:val="00065EE4"/>
    <w:rsid w:val="0007076D"/>
    <w:rsid w:val="000808DC"/>
    <w:rsid w:val="00094A87"/>
    <w:rsid w:val="0009625E"/>
    <w:rsid w:val="000A172D"/>
    <w:rsid w:val="000C0B7D"/>
    <w:rsid w:val="000D3827"/>
    <w:rsid w:val="000E2409"/>
    <w:rsid w:val="000F0B86"/>
    <w:rsid w:val="0011331C"/>
    <w:rsid w:val="001174A4"/>
    <w:rsid w:val="00134DEE"/>
    <w:rsid w:val="00135646"/>
    <w:rsid w:val="0013738C"/>
    <w:rsid w:val="001377A4"/>
    <w:rsid w:val="00143652"/>
    <w:rsid w:val="001473E1"/>
    <w:rsid w:val="00150791"/>
    <w:rsid w:val="00152862"/>
    <w:rsid w:val="001538DD"/>
    <w:rsid w:val="001731AF"/>
    <w:rsid w:val="00186B39"/>
    <w:rsid w:val="00194AC9"/>
    <w:rsid w:val="00195D30"/>
    <w:rsid w:val="001A0C20"/>
    <w:rsid w:val="001B1957"/>
    <w:rsid w:val="001B1EC4"/>
    <w:rsid w:val="001D1E7E"/>
    <w:rsid w:val="001D5329"/>
    <w:rsid w:val="001E7080"/>
    <w:rsid w:val="001E75F8"/>
    <w:rsid w:val="001F131E"/>
    <w:rsid w:val="001F1D43"/>
    <w:rsid w:val="001F4477"/>
    <w:rsid w:val="00215486"/>
    <w:rsid w:val="00242B3F"/>
    <w:rsid w:val="00250A8C"/>
    <w:rsid w:val="00255992"/>
    <w:rsid w:val="00261075"/>
    <w:rsid w:val="00263F8A"/>
    <w:rsid w:val="002666D3"/>
    <w:rsid w:val="00280DD3"/>
    <w:rsid w:val="00286E95"/>
    <w:rsid w:val="002910C9"/>
    <w:rsid w:val="00291B22"/>
    <w:rsid w:val="002A297A"/>
    <w:rsid w:val="002B2945"/>
    <w:rsid w:val="002B2B2D"/>
    <w:rsid w:val="002B3C2D"/>
    <w:rsid w:val="002C1A65"/>
    <w:rsid w:val="002C4756"/>
    <w:rsid w:val="002C71C5"/>
    <w:rsid w:val="002D536B"/>
    <w:rsid w:val="002D7391"/>
    <w:rsid w:val="002E0E08"/>
    <w:rsid w:val="002E36B8"/>
    <w:rsid w:val="002E3B44"/>
    <w:rsid w:val="002E4D30"/>
    <w:rsid w:val="002F34B7"/>
    <w:rsid w:val="00310168"/>
    <w:rsid w:val="00310621"/>
    <w:rsid w:val="00321A21"/>
    <w:rsid w:val="00321D5D"/>
    <w:rsid w:val="00322F3E"/>
    <w:rsid w:val="0032402D"/>
    <w:rsid w:val="0032633E"/>
    <w:rsid w:val="00332F1B"/>
    <w:rsid w:val="003421FA"/>
    <w:rsid w:val="00344B2D"/>
    <w:rsid w:val="00347973"/>
    <w:rsid w:val="00360712"/>
    <w:rsid w:val="003719E3"/>
    <w:rsid w:val="00371CE4"/>
    <w:rsid w:val="00377D6C"/>
    <w:rsid w:val="00384EDE"/>
    <w:rsid w:val="00392573"/>
    <w:rsid w:val="00396FB8"/>
    <w:rsid w:val="003A1576"/>
    <w:rsid w:val="003A4620"/>
    <w:rsid w:val="003B6982"/>
    <w:rsid w:val="003E2664"/>
    <w:rsid w:val="003E4AD7"/>
    <w:rsid w:val="003E5C0D"/>
    <w:rsid w:val="003E6203"/>
    <w:rsid w:val="003E6405"/>
    <w:rsid w:val="003F2B5D"/>
    <w:rsid w:val="003F58F7"/>
    <w:rsid w:val="00401B41"/>
    <w:rsid w:val="00403170"/>
    <w:rsid w:val="00403BF9"/>
    <w:rsid w:val="00411EE6"/>
    <w:rsid w:val="004144CA"/>
    <w:rsid w:val="00414FD7"/>
    <w:rsid w:val="0041542F"/>
    <w:rsid w:val="004159F1"/>
    <w:rsid w:val="00423BF1"/>
    <w:rsid w:val="00424AE2"/>
    <w:rsid w:val="004262CD"/>
    <w:rsid w:val="00427B7F"/>
    <w:rsid w:val="00430877"/>
    <w:rsid w:val="004364C5"/>
    <w:rsid w:val="00462622"/>
    <w:rsid w:val="00466B44"/>
    <w:rsid w:val="004705E2"/>
    <w:rsid w:val="00471C78"/>
    <w:rsid w:val="004831AF"/>
    <w:rsid w:val="00484771"/>
    <w:rsid w:val="0048686C"/>
    <w:rsid w:val="004974A1"/>
    <w:rsid w:val="004A6201"/>
    <w:rsid w:val="004B0A06"/>
    <w:rsid w:val="004B44F8"/>
    <w:rsid w:val="004C0F95"/>
    <w:rsid w:val="004C7B0C"/>
    <w:rsid w:val="004E1B59"/>
    <w:rsid w:val="0051322C"/>
    <w:rsid w:val="00517E31"/>
    <w:rsid w:val="00524BE9"/>
    <w:rsid w:val="00527368"/>
    <w:rsid w:val="00554712"/>
    <w:rsid w:val="005672EC"/>
    <w:rsid w:val="00576B5E"/>
    <w:rsid w:val="00592ED9"/>
    <w:rsid w:val="005B0D2F"/>
    <w:rsid w:val="005D6EC0"/>
    <w:rsid w:val="005E0A2B"/>
    <w:rsid w:val="005E5151"/>
    <w:rsid w:val="005E7A0E"/>
    <w:rsid w:val="005F56FD"/>
    <w:rsid w:val="005F611D"/>
    <w:rsid w:val="006017AC"/>
    <w:rsid w:val="00604C54"/>
    <w:rsid w:val="00607267"/>
    <w:rsid w:val="00610968"/>
    <w:rsid w:val="00626876"/>
    <w:rsid w:val="006320D9"/>
    <w:rsid w:val="006615A2"/>
    <w:rsid w:val="006629C3"/>
    <w:rsid w:val="00663E56"/>
    <w:rsid w:val="00664C60"/>
    <w:rsid w:val="00666C99"/>
    <w:rsid w:val="0066743C"/>
    <w:rsid w:val="00686C2B"/>
    <w:rsid w:val="006A369F"/>
    <w:rsid w:val="006B1D68"/>
    <w:rsid w:val="006B7A01"/>
    <w:rsid w:val="006C7251"/>
    <w:rsid w:val="006D339A"/>
    <w:rsid w:val="006D728B"/>
    <w:rsid w:val="006E47A3"/>
    <w:rsid w:val="006E6F33"/>
    <w:rsid w:val="006F04EF"/>
    <w:rsid w:val="006F0EBD"/>
    <w:rsid w:val="006F18EA"/>
    <w:rsid w:val="00712757"/>
    <w:rsid w:val="00720822"/>
    <w:rsid w:val="00722F80"/>
    <w:rsid w:val="00723310"/>
    <w:rsid w:val="00725A8C"/>
    <w:rsid w:val="00733BD9"/>
    <w:rsid w:val="00743AF8"/>
    <w:rsid w:val="00744E20"/>
    <w:rsid w:val="00745561"/>
    <w:rsid w:val="00764417"/>
    <w:rsid w:val="007726DC"/>
    <w:rsid w:val="00772C10"/>
    <w:rsid w:val="007870BE"/>
    <w:rsid w:val="00790F6D"/>
    <w:rsid w:val="00794C21"/>
    <w:rsid w:val="00796FC4"/>
    <w:rsid w:val="00797CB5"/>
    <w:rsid w:val="007A1D1B"/>
    <w:rsid w:val="007A3D1E"/>
    <w:rsid w:val="007A5AF5"/>
    <w:rsid w:val="007A70A3"/>
    <w:rsid w:val="007B3DB8"/>
    <w:rsid w:val="007C2220"/>
    <w:rsid w:val="007C7AF1"/>
    <w:rsid w:val="007D4773"/>
    <w:rsid w:val="007F04CB"/>
    <w:rsid w:val="00804840"/>
    <w:rsid w:val="00806958"/>
    <w:rsid w:val="00806B40"/>
    <w:rsid w:val="00810D10"/>
    <w:rsid w:val="008156C3"/>
    <w:rsid w:val="00817321"/>
    <w:rsid w:val="00821169"/>
    <w:rsid w:val="00821443"/>
    <w:rsid w:val="00824720"/>
    <w:rsid w:val="008258FC"/>
    <w:rsid w:val="0083760E"/>
    <w:rsid w:val="0084047E"/>
    <w:rsid w:val="00846D6B"/>
    <w:rsid w:val="00847802"/>
    <w:rsid w:val="0086515C"/>
    <w:rsid w:val="008845BD"/>
    <w:rsid w:val="00886409"/>
    <w:rsid w:val="00895E96"/>
    <w:rsid w:val="008B2A04"/>
    <w:rsid w:val="008C697B"/>
    <w:rsid w:val="008D5D8B"/>
    <w:rsid w:val="008D7820"/>
    <w:rsid w:val="008E3FD8"/>
    <w:rsid w:val="00901FF4"/>
    <w:rsid w:val="00914CF1"/>
    <w:rsid w:val="00915E7D"/>
    <w:rsid w:val="00934C73"/>
    <w:rsid w:val="00943A0D"/>
    <w:rsid w:val="00950E99"/>
    <w:rsid w:val="009525FA"/>
    <w:rsid w:val="00955FF2"/>
    <w:rsid w:val="00963DCB"/>
    <w:rsid w:val="009724B6"/>
    <w:rsid w:val="00995902"/>
    <w:rsid w:val="009A4B36"/>
    <w:rsid w:val="009A73AE"/>
    <w:rsid w:val="009B1C79"/>
    <w:rsid w:val="009C6660"/>
    <w:rsid w:val="009D18DD"/>
    <w:rsid w:val="009F71E6"/>
    <w:rsid w:val="00A11C81"/>
    <w:rsid w:val="00A141E6"/>
    <w:rsid w:val="00A22DA8"/>
    <w:rsid w:val="00A34C51"/>
    <w:rsid w:val="00A36CB4"/>
    <w:rsid w:val="00A45F5C"/>
    <w:rsid w:val="00A536B4"/>
    <w:rsid w:val="00A72369"/>
    <w:rsid w:val="00A74D86"/>
    <w:rsid w:val="00A76002"/>
    <w:rsid w:val="00A80BA1"/>
    <w:rsid w:val="00A96A22"/>
    <w:rsid w:val="00AA72FD"/>
    <w:rsid w:val="00AB5855"/>
    <w:rsid w:val="00AE1AAB"/>
    <w:rsid w:val="00AF1ADE"/>
    <w:rsid w:val="00AF505E"/>
    <w:rsid w:val="00B02CF9"/>
    <w:rsid w:val="00B251FD"/>
    <w:rsid w:val="00B433FD"/>
    <w:rsid w:val="00B44D4C"/>
    <w:rsid w:val="00B70369"/>
    <w:rsid w:val="00B8293F"/>
    <w:rsid w:val="00B82C31"/>
    <w:rsid w:val="00B83599"/>
    <w:rsid w:val="00B93FBF"/>
    <w:rsid w:val="00BA1484"/>
    <w:rsid w:val="00BA2DB9"/>
    <w:rsid w:val="00BA489F"/>
    <w:rsid w:val="00BA6E1A"/>
    <w:rsid w:val="00BB7F18"/>
    <w:rsid w:val="00BC1C6B"/>
    <w:rsid w:val="00BC2855"/>
    <w:rsid w:val="00BC2ABF"/>
    <w:rsid w:val="00BC6A8E"/>
    <w:rsid w:val="00BD14AE"/>
    <w:rsid w:val="00BF6D76"/>
    <w:rsid w:val="00C018C6"/>
    <w:rsid w:val="00C06F4F"/>
    <w:rsid w:val="00C13E46"/>
    <w:rsid w:val="00C30684"/>
    <w:rsid w:val="00C30D1C"/>
    <w:rsid w:val="00C40C7F"/>
    <w:rsid w:val="00C47C0B"/>
    <w:rsid w:val="00C50101"/>
    <w:rsid w:val="00C5040F"/>
    <w:rsid w:val="00C539C3"/>
    <w:rsid w:val="00C7464C"/>
    <w:rsid w:val="00C74826"/>
    <w:rsid w:val="00C770E4"/>
    <w:rsid w:val="00C833B0"/>
    <w:rsid w:val="00CA684F"/>
    <w:rsid w:val="00CB3399"/>
    <w:rsid w:val="00CC0ACC"/>
    <w:rsid w:val="00CC128D"/>
    <w:rsid w:val="00CC5D11"/>
    <w:rsid w:val="00CC6C34"/>
    <w:rsid w:val="00CF16E5"/>
    <w:rsid w:val="00D06721"/>
    <w:rsid w:val="00D110ED"/>
    <w:rsid w:val="00D142BD"/>
    <w:rsid w:val="00D27CAD"/>
    <w:rsid w:val="00D300DE"/>
    <w:rsid w:val="00D32922"/>
    <w:rsid w:val="00D32C60"/>
    <w:rsid w:val="00D46D6B"/>
    <w:rsid w:val="00D504FC"/>
    <w:rsid w:val="00D6668D"/>
    <w:rsid w:val="00D723F6"/>
    <w:rsid w:val="00D8153F"/>
    <w:rsid w:val="00D92E47"/>
    <w:rsid w:val="00D95A1C"/>
    <w:rsid w:val="00DA13BB"/>
    <w:rsid w:val="00DA3447"/>
    <w:rsid w:val="00DC4E97"/>
    <w:rsid w:val="00DC5611"/>
    <w:rsid w:val="00DD74EB"/>
    <w:rsid w:val="00E0596A"/>
    <w:rsid w:val="00E11B90"/>
    <w:rsid w:val="00E13569"/>
    <w:rsid w:val="00E146DE"/>
    <w:rsid w:val="00E168BA"/>
    <w:rsid w:val="00E27085"/>
    <w:rsid w:val="00E27B08"/>
    <w:rsid w:val="00E35D14"/>
    <w:rsid w:val="00E35E8D"/>
    <w:rsid w:val="00E36264"/>
    <w:rsid w:val="00E555AC"/>
    <w:rsid w:val="00E574C4"/>
    <w:rsid w:val="00E72E1D"/>
    <w:rsid w:val="00E76D15"/>
    <w:rsid w:val="00EA136E"/>
    <w:rsid w:val="00EB04F7"/>
    <w:rsid w:val="00EC5D05"/>
    <w:rsid w:val="00ED2509"/>
    <w:rsid w:val="00EE4C55"/>
    <w:rsid w:val="00EE6602"/>
    <w:rsid w:val="00F02BE5"/>
    <w:rsid w:val="00F148E1"/>
    <w:rsid w:val="00F14D7C"/>
    <w:rsid w:val="00F16DF4"/>
    <w:rsid w:val="00F208E9"/>
    <w:rsid w:val="00F30267"/>
    <w:rsid w:val="00F3432E"/>
    <w:rsid w:val="00F42B44"/>
    <w:rsid w:val="00F47EC3"/>
    <w:rsid w:val="00F54DBB"/>
    <w:rsid w:val="00F62908"/>
    <w:rsid w:val="00F648B3"/>
    <w:rsid w:val="00F67DC5"/>
    <w:rsid w:val="00F73EC4"/>
    <w:rsid w:val="00F87A5C"/>
    <w:rsid w:val="00FB1C42"/>
    <w:rsid w:val="00FB3672"/>
    <w:rsid w:val="00FD0CE4"/>
    <w:rsid w:val="00FD1F9E"/>
    <w:rsid w:val="00FD2ADC"/>
    <w:rsid w:val="00FD3150"/>
    <w:rsid w:val="00FD4A18"/>
    <w:rsid w:val="00FE117F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D3F7"/>
  <w15:chartTrackingRefBased/>
  <w15:docId w15:val="{254CE110-75F1-45F9-88D5-421AD043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D4C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3827"/>
    <w:pPr>
      <w:ind w:left="720"/>
      <w:contextualSpacing/>
    </w:pPr>
  </w:style>
  <w:style w:type="character" w:styleId="Istaknuto">
    <w:name w:val="Emphasis"/>
    <w:qFormat/>
    <w:rsid w:val="00143652"/>
    <w:rPr>
      <w:rFonts w:cs="Times New Roman"/>
      <w:i/>
      <w:iCs/>
    </w:rPr>
  </w:style>
  <w:style w:type="table" w:styleId="Reetkatablice">
    <w:name w:val="Table Grid"/>
    <w:basedOn w:val="Obinatablica"/>
    <w:uiPriority w:val="39"/>
    <w:rsid w:val="00117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0A172D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0A172D"/>
    <w:rPr>
      <w:rFonts w:ascii="Calibri" w:eastAsia="Times New Roman" w:hAnsi="Calibri" w:cs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34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4C5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34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34C51"/>
  </w:style>
  <w:style w:type="paragraph" w:styleId="Podnoje">
    <w:name w:val="footer"/>
    <w:basedOn w:val="Normal"/>
    <w:link w:val="PodnojeChar"/>
    <w:uiPriority w:val="99"/>
    <w:unhideWhenUsed/>
    <w:rsid w:val="00A34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34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08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19319-1271-4309-BE31-1335E24E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2354</Words>
  <Characters>13420</Characters>
  <Application>Microsoft Office Word</Application>
  <DocSecurity>0</DocSecurity>
  <Lines>111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Kolarek</dc:creator>
  <cp:keywords/>
  <dc:description/>
  <cp:lastModifiedBy>Valentina Markić</cp:lastModifiedBy>
  <cp:revision>12</cp:revision>
  <cp:lastPrinted>2025-07-17T08:46:00Z</cp:lastPrinted>
  <dcterms:created xsi:type="dcterms:W3CDTF">2025-07-10T10:10:00Z</dcterms:created>
  <dcterms:modified xsi:type="dcterms:W3CDTF">2025-07-18T12:06:00Z</dcterms:modified>
</cp:coreProperties>
</file>